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50906507" w:rsidR="00AD7EED" w:rsidRPr="00044C04" w:rsidRDefault="00673EE9" w:rsidP="006057C5">
      <w:pPr>
        <w:pStyle w:val="a3"/>
        <w:tabs>
          <w:tab w:val="clear" w:pos="4153"/>
          <w:tab w:val="clear" w:pos="8306"/>
          <w:tab w:val="center" w:pos="5245"/>
          <w:tab w:val="right" w:pos="7088"/>
          <w:tab w:val="right" w:pos="9781"/>
        </w:tabs>
        <w:spacing w:before="12" w:after="48"/>
        <w:rPr>
          <w:rFonts w:ascii="Arial" w:hAnsi="Arial" w:cs="Arial"/>
          <w:b/>
          <w:bCs/>
          <w:i/>
          <w:iCs/>
          <w:sz w:val="24"/>
          <w:szCs w:val="24"/>
        </w:rPr>
      </w:pPr>
      <w:r w:rsidRPr="00010501">
        <w:rPr>
          <w:rFonts w:ascii="Arial" w:hAnsi="Arial" w:cs="Arial"/>
          <w:b/>
          <w:bCs/>
          <w:sz w:val="24"/>
          <w:szCs w:val="18"/>
        </w:rPr>
        <w:t>3GPP TSG</w:t>
      </w:r>
      <w:r w:rsidR="006057C5" w:rsidRPr="00010501">
        <w:rPr>
          <w:rFonts w:ascii="Arial" w:hAnsi="Arial" w:cs="Arial"/>
          <w:b/>
          <w:bCs/>
          <w:sz w:val="24"/>
          <w:szCs w:val="18"/>
        </w:rPr>
        <w:t>-</w:t>
      </w:r>
      <w:r w:rsidRPr="00010501">
        <w:rPr>
          <w:rFonts w:ascii="Arial" w:hAnsi="Arial" w:cs="Arial"/>
          <w:b/>
          <w:bCs/>
          <w:sz w:val="24"/>
          <w:szCs w:val="18"/>
        </w:rPr>
        <w:t>RAN WG</w:t>
      </w:r>
      <w:r w:rsidR="00D80A94" w:rsidRPr="00010501">
        <w:rPr>
          <w:rFonts w:ascii="Arial" w:hAnsi="Arial" w:cs="Arial"/>
          <w:b/>
          <w:bCs/>
          <w:sz w:val="24"/>
          <w:szCs w:val="18"/>
        </w:rPr>
        <w:t>4</w:t>
      </w:r>
      <w:r w:rsidRPr="00010501">
        <w:rPr>
          <w:rFonts w:ascii="Arial" w:hAnsi="Arial" w:cs="Arial"/>
          <w:b/>
          <w:bCs/>
          <w:sz w:val="24"/>
          <w:szCs w:val="18"/>
        </w:rPr>
        <w:t xml:space="preserve"> </w:t>
      </w:r>
      <w:r w:rsidR="006057C5" w:rsidRPr="00010501">
        <w:rPr>
          <w:rFonts w:ascii="Arial" w:hAnsi="Arial" w:cs="Arial"/>
          <w:b/>
          <w:bCs/>
          <w:sz w:val="24"/>
          <w:szCs w:val="18"/>
        </w:rPr>
        <w:t xml:space="preserve">Meeting </w:t>
      </w:r>
      <w:r w:rsidRPr="00010501">
        <w:rPr>
          <w:rFonts w:ascii="Arial" w:hAnsi="Arial" w:cs="Arial"/>
          <w:b/>
          <w:bCs/>
          <w:sz w:val="24"/>
          <w:szCs w:val="18"/>
        </w:rPr>
        <w:t>#1</w:t>
      </w:r>
      <w:r w:rsidR="006057C5" w:rsidRPr="00010501">
        <w:rPr>
          <w:rFonts w:ascii="Arial" w:hAnsi="Arial" w:cs="Arial"/>
          <w:b/>
          <w:bCs/>
          <w:sz w:val="24"/>
          <w:szCs w:val="18"/>
        </w:rPr>
        <w:t>1</w:t>
      </w:r>
      <w:r w:rsidR="001A5CAC">
        <w:rPr>
          <w:rFonts w:ascii="Arial" w:hAnsi="Arial" w:cs="Arial"/>
          <w:b/>
          <w:bCs/>
          <w:sz w:val="24"/>
          <w:szCs w:val="18"/>
        </w:rPr>
        <w:t>7</w:t>
      </w:r>
      <w:r w:rsidR="00AD7EED" w:rsidRPr="00010501">
        <w:rPr>
          <w:rFonts w:ascii="Arial" w:hAnsi="Arial" w:cs="Arial"/>
          <w:b/>
          <w:bCs/>
          <w:sz w:val="24"/>
          <w:szCs w:val="24"/>
        </w:rPr>
        <w:tab/>
      </w:r>
      <w:r w:rsidR="00AD7EED" w:rsidRPr="00010501">
        <w:rPr>
          <w:rFonts w:ascii="Arial" w:hAnsi="Arial" w:cs="Arial"/>
          <w:b/>
          <w:bCs/>
          <w:sz w:val="24"/>
          <w:szCs w:val="24"/>
        </w:rPr>
        <w:tab/>
      </w:r>
      <w:r w:rsidRPr="00010501">
        <w:rPr>
          <w:rFonts w:ascii="Arial" w:hAnsi="Arial" w:cs="Arial"/>
          <w:b/>
          <w:bCs/>
          <w:sz w:val="24"/>
          <w:szCs w:val="24"/>
        </w:rPr>
        <w:tab/>
      </w:r>
      <w:r w:rsidR="00AD7EED" w:rsidRPr="00044C04">
        <w:rPr>
          <w:rFonts w:ascii="Arial" w:hAnsi="Arial" w:cs="Arial"/>
          <w:b/>
          <w:bCs/>
          <w:i/>
          <w:iCs/>
          <w:sz w:val="24"/>
          <w:szCs w:val="24"/>
        </w:rPr>
        <w:t>R</w:t>
      </w:r>
      <w:r w:rsidR="006057C5" w:rsidRPr="00044C04">
        <w:rPr>
          <w:rFonts w:ascii="Arial" w:hAnsi="Arial" w:cs="Arial"/>
          <w:b/>
          <w:bCs/>
          <w:i/>
          <w:iCs/>
          <w:sz w:val="24"/>
          <w:szCs w:val="24"/>
        </w:rPr>
        <w:t>4</w:t>
      </w:r>
      <w:r w:rsidR="00AD7EED" w:rsidRPr="00044C04">
        <w:rPr>
          <w:rFonts w:ascii="Arial" w:hAnsi="Arial" w:cs="Arial"/>
          <w:b/>
          <w:bCs/>
          <w:i/>
          <w:iCs/>
          <w:sz w:val="24"/>
          <w:szCs w:val="24"/>
        </w:rPr>
        <w:t>-</w:t>
      </w:r>
      <w:r w:rsidR="00FC2634" w:rsidRPr="00044C04">
        <w:rPr>
          <w:rFonts w:ascii="Arial" w:hAnsi="Arial" w:cs="Arial"/>
          <w:b/>
          <w:bCs/>
          <w:i/>
          <w:iCs/>
          <w:sz w:val="24"/>
          <w:szCs w:val="24"/>
        </w:rPr>
        <w:t>25</w:t>
      </w:r>
      <w:r w:rsidR="0091498D">
        <w:rPr>
          <w:rFonts w:ascii="Arial" w:hAnsi="Arial" w:cs="Arial"/>
          <w:b/>
          <w:bCs/>
          <w:i/>
          <w:iCs/>
          <w:sz w:val="24"/>
          <w:szCs w:val="24"/>
        </w:rPr>
        <w:t>21424</w:t>
      </w:r>
    </w:p>
    <w:p w14:paraId="62595ABA" w14:textId="22CBEDDD" w:rsidR="00E959D4" w:rsidRPr="00010501" w:rsidRDefault="001A5CAC" w:rsidP="00E959D4">
      <w:pPr>
        <w:tabs>
          <w:tab w:val="center" w:pos="4536"/>
          <w:tab w:val="right" w:pos="9072"/>
        </w:tabs>
        <w:spacing w:before="12" w:after="48"/>
        <w:rPr>
          <w:rFonts w:ascii="Arial" w:eastAsia="MS Mincho" w:hAnsi="Arial" w:cs="Arial"/>
          <w:b/>
          <w:bCs/>
          <w:sz w:val="24"/>
          <w:szCs w:val="18"/>
          <w:lang w:eastAsia="ja-JP"/>
        </w:rPr>
      </w:pPr>
      <w:r>
        <w:rPr>
          <w:rFonts w:ascii="Arial" w:eastAsia="MS Mincho" w:hAnsi="Arial" w:cs="Arial"/>
          <w:b/>
          <w:bCs/>
          <w:sz w:val="24"/>
          <w:szCs w:val="18"/>
          <w:lang w:eastAsia="ja-JP"/>
        </w:rPr>
        <w:t>Dallas</w:t>
      </w:r>
      <w:r w:rsidR="00C7647D" w:rsidRPr="00010501">
        <w:rPr>
          <w:rFonts w:ascii="Arial" w:eastAsia="MS Mincho" w:hAnsi="Arial" w:cs="Arial"/>
          <w:b/>
          <w:bCs/>
          <w:sz w:val="24"/>
          <w:szCs w:val="18"/>
          <w:lang w:eastAsia="ja-JP"/>
        </w:rPr>
        <w:t xml:space="preserve">, </w:t>
      </w:r>
      <w:r w:rsidR="000523D7">
        <w:rPr>
          <w:rFonts w:ascii="Arial" w:eastAsia="MS Mincho" w:hAnsi="Arial" w:cs="Arial"/>
          <w:b/>
          <w:bCs/>
          <w:sz w:val="24"/>
          <w:szCs w:val="18"/>
          <w:lang w:eastAsia="ja-JP"/>
        </w:rPr>
        <w:t xml:space="preserve">TX, </w:t>
      </w:r>
      <w:r>
        <w:rPr>
          <w:rFonts w:ascii="Arial" w:eastAsia="MS Mincho" w:hAnsi="Arial" w:cs="Arial"/>
          <w:b/>
          <w:bCs/>
          <w:sz w:val="24"/>
          <w:szCs w:val="18"/>
          <w:lang w:eastAsia="ja-JP"/>
        </w:rPr>
        <w:t>USA</w:t>
      </w:r>
      <w:r w:rsidR="00E959D4" w:rsidRPr="00010501">
        <w:rPr>
          <w:rFonts w:ascii="Arial" w:eastAsia="MS Mincho" w:hAnsi="Arial" w:cs="Arial"/>
          <w:b/>
          <w:bCs/>
          <w:sz w:val="24"/>
          <w:szCs w:val="18"/>
          <w:lang w:eastAsia="ja-JP"/>
        </w:rPr>
        <w:t xml:space="preserve">, </w:t>
      </w:r>
      <w:r>
        <w:rPr>
          <w:rFonts w:ascii="Arial" w:eastAsia="MS Mincho" w:hAnsi="Arial" w:cs="Arial"/>
          <w:b/>
          <w:bCs/>
          <w:sz w:val="24"/>
          <w:szCs w:val="18"/>
          <w:lang w:eastAsia="ja-JP"/>
        </w:rPr>
        <w:t>Nov</w:t>
      </w:r>
      <w:r w:rsidR="00E959D4" w:rsidRPr="00010501">
        <w:rPr>
          <w:rFonts w:ascii="Arial" w:eastAsia="MS Mincho" w:hAnsi="Arial" w:cs="Arial"/>
          <w:b/>
          <w:bCs/>
          <w:sz w:val="24"/>
          <w:szCs w:val="18"/>
          <w:lang w:eastAsia="ja-JP"/>
        </w:rPr>
        <w:t xml:space="preserve"> </w:t>
      </w:r>
      <w:r w:rsidR="00D80A94" w:rsidRPr="00010501">
        <w:rPr>
          <w:rFonts w:ascii="Arial" w:eastAsia="MS Mincho" w:hAnsi="Arial" w:cs="Arial"/>
          <w:b/>
          <w:bCs/>
          <w:sz w:val="24"/>
          <w:szCs w:val="18"/>
          <w:lang w:eastAsia="ja-JP"/>
        </w:rPr>
        <w:t>1</w:t>
      </w:r>
      <w:r>
        <w:rPr>
          <w:rFonts w:ascii="Arial" w:eastAsia="MS Mincho" w:hAnsi="Arial" w:cs="Arial"/>
          <w:b/>
          <w:bCs/>
          <w:sz w:val="24"/>
          <w:szCs w:val="18"/>
          <w:lang w:eastAsia="ja-JP"/>
        </w:rPr>
        <w:t>7</w:t>
      </w:r>
      <w:r w:rsidR="00E959D4" w:rsidRPr="00010501">
        <w:rPr>
          <w:rFonts w:ascii="Malgun Gothic" w:eastAsia="Malgun Gothic" w:hAnsi="Malgun Gothic" w:cs="Malgun Gothic" w:hint="eastAsia"/>
          <w:b/>
          <w:bCs/>
          <w:sz w:val="24"/>
          <w:szCs w:val="18"/>
          <w:vertAlign w:val="superscript"/>
          <w:lang w:eastAsia="ko-KR"/>
        </w:rPr>
        <w:t>th</w:t>
      </w:r>
      <w:r w:rsidR="00E959D4" w:rsidRPr="00010501">
        <w:rPr>
          <w:rFonts w:ascii="Arial" w:eastAsia="MS Mincho" w:hAnsi="Arial" w:cs="Arial"/>
          <w:b/>
          <w:bCs/>
          <w:sz w:val="24"/>
          <w:szCs w:val="18"/>
          <w:lang w:eastAsia="ja-JP"/>
        </w:rPr>
        <w:t xml:space="preserve"> </w:t>
      </w:r>
      <w:r w:rsidR="00E959D4" w:rsidRPr="00010501">
        <w:rPr>
          <w:rFonts w:ascii="Arial" w:hAnsi="Arial" w:cs="Arial"/>
          <w:b/>
          <w:bCs/>
          <w:sz w:val="24"/>
          <w:szCs w:val="18"/>
        </w:rPr>
        <w:t xml:space="preserve">– </w:t>
      </w:r>
      <w:r>
        <w:rPr>
          <w:rFonts w:ascii="Arial" w:hAnsi="Arial" w:cs="Arial"/>
          <w:b/>
          <w:bCs/>
          <w:sz w:val="24"/>
          <w:szCs w:val="18"/>
        </w:rPr>
        <w:t>21</w:t>
      </w:r>
      <w:r w:rsidR="00E959D4" w:rsidRPr="00010501">
        <w:rPr>
          <w:rFonts w:ascii="Arial" w:hAnsi="Arial" w:cs="Arial"/>
          <w:b/>
          <w:bCs/>
          <w:sz w:val="24"/>
          <w:szCs w:val="18"/>
          <w:vertAlign w:val="superscript"/>
        </w:rPr>
        <w:t>th</w:t>
      </w:r>
      <w:r w:rsidR="00E959D4" w:rsidRPr="00010501">
        <w:rPr>
          <w:rFonts w:ascii="Arial" w:eastAsia="MS Mincho" w:hAnsi="Arial" w:cs="Arial"/>
          <w:b/>
          <w:bCs/>
          <w:sz w:val="24"/>
          <w:szCs w:val="18"/>
          <w:lang w:eastAsia="ja-JP"/>
        </w:rPr>
        <w:t>, 2025</w:t>
      </w:r>
    </w:p>
    <w:p w14:paraId="00F5B7C0" w14:textId="77777777" w:rsidR="00277224" w:rsidRPr="00C7647D" w:rsidRDefault="00277224" w:rsidP="00277224">
      <w:pPr>
        <w:spacing w:before="12" w:after="48"/>
        <w:rPr>
          <w:b/>
          <w:bCs/>
        </w:rPr>
      </w:pPr>
    </w:p>
    <w:p w14:paraId="6D970023" w14:textId="648E4196" w:rsidR="00277224" w:rsidRPr="00010501" w:rsidRDefault="00277224" w:rsidP="00D80A94">
      <w:pPr>
        <w:spacing w:before="12" w:after="48" w:line="288" w:lineRule="auto"/>
        <w:ind w:left="1985" w:hanging="1985"/>
        <w:rPr>
          <w:rFonts w:ascii="Arial" w:hAnsi="Arial" w:cs="Arial"/>
          <w:b/>
          <w:bCs/>
          <w:color w:val="000000" w:themeColor="text1"/>
          <w:sz w:val="22"/>
          <w:szCs w:val="22"/>
        </w:rPr>
      </w:pPr>
      <w:r w:rsidRPr="00010501">
        <w:rPr>
          <w:rFonts w:ascii="Arial" w:hAnsi="Arial" w:cs="Arial"/>
          <w:b/>
          <w:bCs/>
          <w:color w:val="000000" w:themeColor="text1"/>
          <w:sz w:val="22"/>
          <w:szCs w:val="22"/>
        </w:rPr>
        <w:t>Agenda item:</w:t>
      </w:r>
      <w:r w:rsidRPr="00010501">
        <w:rPr>
          <w:rFonts w:ascii="Arial" w:hAnsi="Arial" w:cs="Arial"/>
          <w:b/>
          <w:bCs/>
          <w:color w:val="000000" w:themeColor="text1"/>
          <w:sz w:val="22"/>
          <w:szCs w:val="22"/>
        </w:rPr>
        <w:tab/>
      </w:r>
      <w:r w:rsidR="002E7436" w:rsidRPr="00010501">
        <w:rPr>
          <w:rFonts w:ascii="Arial" w:hAnsi="Arial" w:cs="Arial"/>
          <w:color w:val="000000" w:themeColor="text1"/>
          <w:sz w:val="22"/>
          <w:szCs w:val="22"/>
        </w:rPr>
        <w:t>7.2.4</w:t>
      </w:r>
    </w:p>
    <w:p w14:paraId="54ED322E" w14:textId="30DDFB7B" w:rsidR="00277224" w:rsidRPr="00010501" w:rsidRDefault="00277224" w:rsidP="00D80A94">
      <w:pPr>
        <w:spacing w:before="12" w:after="48" w:line="288" w:lineRule="auto"/>
        <w:ind w:left="1985" w:hanging="1985"/>
        <w:rPr>
          <w:rFonts w:ascii="Arial" w:hAnsi="Arial" w:cs="Arial"/>
          <w:b/>
          <w:bCs/>
          <w:color w:val="000000" w:themeColor="text1"/>
          <w:sz w:val="22"/>
          <w:szCs w:val="22"/>
        </w:rPr>
      </w:pPr>
      <w:r w:rsidRPr="00010501">
        <w:rPr>
          <w:rFonts w:ascii="Arial" w:hAnsi="Arial" w:cs="Arial"/>
          <w:b/>
          <w:bCs/>
          <w:color w:val="000000" w:themeColor="text1"/>
          <w:sz w:val="22"/>
          <w:szCs w:val="22"/>
        </w:rPr>
        <w:t>Title:</w:t>
      </w:r>
      <w:r w:rsidRPr="00010501">
        <w:rPr>
          <w:rFonts w:ascii="Arial" w:hAnsi="Arial" w:cs="Arial"/>
          <w:b/>
          <w:bCs/>
          <w:color w:val="000000" w:themeColor="text1"/>
          <w:sz w:val="22"/>
          <w:szCs w:val="22"/>
        </w:rPr>
        <w:tab/>
      </w:r>
      <w:r w:rsidR="00AA5E8F" w:rsidRPr="0081733D">
        <w:rPr>
          <w:rFonts w:ascii="Arial" w:hAnsi="Arial" w:cs="Arial"/>
          <w:color w:val="000000" w:themeColor="text1"/>
          <w:sz w:val="22"/>
          <w:szCs w:val="22"/>
        </w:rPr>
        <w:t>On SBFD BS to SBFD BS Adjacent Channel Coexistence</w:t>
      </w:r>
    </w:p>
    <w:p w14:paraId="2AAAF0A5" w14:textId="088C4F75" w:rsidR="00277224" w:rsidRPr="00010501" w:rsidRDefault="00277224" w:rsidP="00D80A94">
      <w:pPr>
        <w:spacing w:before="12" w:after="48" w:line="288" w:lineRule="auto"/>
        <w:ind w:left="1985" w:hanging="1985"/>
        <w:rPr>
          <w:rFonts w:ascii="Arial" w:hAnsi="Arial" w:cs="Arial"/>
          <w:color w:val="000000" w:themeColor="text1"/>
          <w:sz w:val="22"/>
          <w:szCs w:val="22"/>
        </w:rPr>
      </w:pPr>
      <w:r w:rsidRPr="00010501">
        <w:rPr>
          <w:rFonts w:ascii="Arial" w:hAnsi="Arial" w:cs="Arial"/>
          <w:b/>
          <w:bCs/>
          <w:color w:val="000000" w:themeColor="text1"/>
          <w:sz w:val="22"/>
          <w:szCs w:val="22"/>
        </w:rPr>
        <w:t>Source:</w:t>
      </w:r>
      <w:r w:rsidRPr="00010501">
        <w:rPr>
          <w:rFonts w:ascii="Arial" w:hAnsi="Arial" w:cs="Arial"/>
          <w:b/>
          <w:bCs/>
          <w:color w:val="000000" w:themeColor="text1"/>
          <w:sz w:val="22"/>
          <w:szCs w:val="22"/>
        </w:rPr>
        <w:tab/>
      </w:r>
      <w:r w:rsidRPr="00010501">
        <w:rPr>
          <w:rFonts w:ascii="Arial" w:hAnsi="Arial" w:cs="Arial"/>
          <w:color w:val="000000" w:themeColor="text1"/>
          <w:sz w:val="22"/>
          <w:szCs w:val="22"/>
        </w:rPr>
        <w:t>Samsung</w:t>
      </w:r>
    </w:p>
    <w:p w14:paraId="7ADEACED" w14:textId="374C9153" w:rsidR="00277224" w:rsidRDefault="00277224" w:rsidP="00D80A94">
      <w:pPr>
        <w:spacing w:before="12" w:after="48" w:line="288" w:lineRule="auto"/>
        <w:ind w:left="1985" w:hanging="1985"/>
        <w:rPr>
          <w:rFonts w:ascii="Arial" w:hAnsi="Arial" w:cs="Arial"/>
          <w:color w:val="000000" w:themeColor="text1"/>
          <w:sz w:val="22"/>
          <w:szCs w:val="22"/>
        </w:rPr>
      </w:pPr>
      <w:r w:rsidRPr="00010501">
        <w:rPr>
          <w:rFonts w:ascii="Arial" w:hAnsi="Arial" w:cs="Arial"/>
          <w:b/>
          <w:bCs/>
          <w:color w:val="000000" w:themeColor="text1"/>
          <w:sz w:val="22"/>
          <w:szCs w:val="22"/>
        </w:rPr>
        <w:t>Document for:</w:t>
      </w:r>
      <w:r w:rsidRPr="00010501">
        <w:rPr>
          <w:rFonts w:ascii="Arial" w:hAnsi="Arial" w:cs="Arial"/>
          <w:b/>
          <w:bCs/>
          <w:color w:val="000000" w:themeColor="text1"/>
          <w:sz w:val="22"/>
          <w:szCs w:val="22"/>
        </w:rPr>
        <w:tab/>
      </w:r>
      <w:r w:rsidRPr="00010501">
        <w:rPr>
          <w:rFonts w:ascii="Arial" w:hAnsi="Arial" w:cs="Arial"/>
          <w:color w:val="000000" w:themeColor="text1"/>
          <w:sz w:val="22"/>
          <w:szCs w:val="22"/>
        </w:rPr>
        <w:t>Discussion</w:t>
      </w:r>
    </w:p>
    <w:p w14:paraId="0F6FFC51" w14:textId="77777777" w:rsidR="00010501" w:rsidRPr="00010501" w:rsidRDefault="00010501" w:rsidP="00D80A94">
      <w:pPr>
        <w:spacing w:before="12" w:after="48" w:line="288" w:lineRule="auto"/>
        <w:ind w:left="1985" w:hanging="1985"/>
        <w:rPr>
          <w:rFonts w:ascii="Arial" w:hAnsi="Arial" w:cs="Arial"/>
          <w:color w:val="000000" w:themeColor="text1"/>
          <w:sz w:val="22"/>
          <w:szCs w:val="22"/>
        </w:rPr>
      </w:pPr>
    </w:p>
    <w:p w14:paraId="4B9CE8C6" w14:textId="77777777" w:rsidR="00277224" w:rsidRPr="001C06C9" w:rsidRDefault="00277224" w:rsidP="008F0AEF">
      <w:pPr>
        <w:pStyle w:val="1"/>
        <w:spacing w:before="180" w:after="72"/>
      </w:pPr>
      <w:r w:rsidRPr="00D12F45">
        <w:t>Introduction</w:t>
      </w:r>
    </w:p>
    <w:p w14:paraId="345C1FFC" w14:textId="77777777" w:rsidR="00FC6F28" w:rsidRDefault="00FC6F28" w:rsidP="00FC6F28">
      <w:pPr>
        <w:pStyle w:val="0Maintext"/>
        <w:spacing w:before="12" w:after="48" w:line="276" w:lineRule="auto"/>
        <w:rPr>
          <w:lang w:val="en-US" w:eastAsia="ko-KR"/>
        </w:rPr>
      </w:pPr>
      <w:r>
        <w:rPr>
          <w:lang w:val="en-US" w:eastAsia="ko-KR"/>
        </w:rPr>
        <w:t xml:space="preserve">In Rel-18, </w:t>
      </w:r>
      <w:r>
        <w:t xml:space="preserve">Sub-Band non-overlapping Full Duplex (SBFD) was adopted as a new study item (SI) to enable the simultaneous transmission and reception capability of NR base stations (BSs) and to enhance the capacity of NR system. Since then, comprehensive studies have been conducted on the SBFD topics and conclusions have been made and documented in technical report </w:t>
      </w:r>
      <w:r>
        <w:rPr>
          <w:vertAlign w:val="superscript"/>
        </w:rPr>
        <w:t>[1]</w:t>
      </w:r>
      <w:r>
        <w:t>.</w:t>
      </w:r>
    </w:p>
    <w:p w14:paraId="4D43DAB1" w14:textId="77777777" w:rsidR="00FC6F28" w:rsidRPr="00A42282" w:rsidRDefault="00FC6F28" w:rsidP="00FC6F28">
      <w:pPr>
        <w:pStyle w:val="0Maintext"/>
        <w:spacing w:before="12" w:after="48" w:line="276" w:lineRule="auto"/>
        <w:rPr>
          <w:rFonts w:eastAsiaTheme="minorEastAsia"/>
          <w:lang w:val="en-US" w:eastAsia="ko-KR"/>
        </w:rPr>
      </w:pPr>
      <w:r>
        <w:rPr>
          <w:rFonts w:eastAsiaTheme="minorEastAsia" w:hint="eastAsia"/>
          <w:lang w:val="en-US" w:eastAsia="ko-KR"/>
        </w:rPr>
        <w:t>T</w:t>
      </w:r>
      <w:r>
        <w:rPr>
          <w:rFonts w:eastAsiaTheme="minorEastAsia"/>
          <w:lang w:val="en-US" w:eastAsia="ko-KR"/>
        </w:rPr>
        <w:t xml:space="preserve">o explore the potential deployment of SBFD BSs, the adjacent channel co-existence evaluation has been proposed in Rel-19, and the TDD-SBFD co-existence problem have been investigated. However, due to the work load and time limitation, RAN4 agreed not to introduce </w:t>
      </w:r>
      <w:r w:rsidRPr="00A42282">
        <w:rPr>
          <w:rFonts w:eastAsiaTheme="minorEastAsia"/>
          <w:lang w:val="en-US" w:eastAsia="ko-KR"/>
        </w:rPr>
        <w:t>specific requirements for SBFD-SBFD co-ex case for FR1 WA or MR BS in Rel-19</w:t>
      </w:r>
      <w:r>
        <w:rPr>
          <w:rFonts w:eastAsiaTheme="minorEastAsia"/>
          <w:lang w:val="en-US" w:eastAsia="ko-KR"/>
        </w:rPr>
        <w:t xml:space="preserve"> </w:t>
      </w:r>
      <w:r>
        <w:rPr>
          <w:rFonts w:eastAsiaTheme="minorEastAsia"/>
          <w:vertAlign w:val="superscript"/>
          <w:lang w:val="en-US" w:eastAsia="ko-KR"/>
        </w:rPr>
        <w:t>[2]</w:t>
      </w:r>
      <w:r>
        <w:rPr>
          <w:rFonts w:eastAsiaTheme="minorEastAsia"/>
          <w:lang w:val="en-US" w:eastAsia="ko-KR"/>
        </w:rPr>
        <w:t>.</w:t>
      </w:r>
    </w:p>
    <w:tbl>
      <w:tblPr>
        <w:tblStyle w:val="a5"/>
        <w:tblW w:w="0" w:type="auto"/>
        <w:tblLook w:val="04A0" w:firstRow="1" w:lastRow="0" w:firstColumn="1" w:lastColumn="0" w:noHBand="0" w:noVBand="1"/>
      </w:tblPr>
      <w:tblGrid>
        <w:gridCol w:w="9855"/>
      </w:tblGrid>
      <w:tr w:rsidR="00FC6F28" w:rsidRPr="00306BD4" w14:paraId="1226647B" w14:textId="77777777" w:rsidTr="005942DF">
        <w:tc>
          <w:tcPr>
            <w:tcW w:w="9855" w:type="dxa"/>
          </w:tcPr>
          <w:p w14:paraId="3F299177" w14:textId="77777777" w:rsidR="00FC6F28" w:rsidRPr="00EB758D" w:rsidRDefault="00FC6F28" w:rsidP="005942DF">
            <w:pPr>
              <w:pStyle w:val="a7"/>
              <w:numPr>
                <w:ilvl w:val="0"/>
                <w:numId w:val="33"/>
              </w:numPr>
              <w:overflowPunct w:val="0"/>
              <w:autoSpaceDE w:val="0"/>
              <w:autoSpaceDN w:val="0"/>
              <w:adjustRightInd w:val="0"/>
              <w:spacing w:afterLines="0" w:after="120"/>
              <w:ind w:leftChars="0" w:left="284" w:hanging="284"/>
              <w:contextualSpacing/>
              <w:textAlignment w:val="baseline"/>
              <w:rPr>
                <w:b/>
                <w:bCs/>
                <w:color w:val="000000" w:themeColor="text1"/>
              </w:rPr>
            </w:pPr>
            <w:r w:rsidRPr="00A42282">
              <w:rPr>
                <w:b/>
                <w:bCs/>
              </w:rPr>
              <w:t>Issue 1-1: Whether SBFD-SBFD co-ex case should be in Rel-19 scope</w:t>
            </w:r>
          </w:p>
          <w:p w14:paraId="38BE61EA" w14:textId="77777777" w:rsidR="00FC6F28" w:rsidRPr="00A42282" w:rsidRDefault="00FC6F28" w:rsidP="005942DF">
            <w:pPr>
              <w:pStyle w:val="a7"/>
              <w:numPr>
                <w:ilvl w:val="0"/>
                <w:numId w:val="42"/>
              </w:numPr>
              <w:overflowPunct w:val="0"/>
              <w:autoSpaceDE w:val="0"/>
              <w:autoSpaceDN w:val="0"/>
              <w:adjustRightInd w:val="0"/>
              <w:spacing w:afterLines="0" w:after="120" w:line="240" w:lineRule="auto"/>
              <w:ind w:leftChars="0" w:left="697" w:hanging="357"/>
              <w:contextualSpacing/>
              <w:textAlignment w:val="baseline"/>
              <w:rPr>
                <w:color w:val="000000" w:themeColor="text1"/>
              </w:rPr>
            </w:pPr>
            <w:r w:rsidRPr="00A42282">
              <w:rPr>
                <w:color w:val="000000" w:themeColor="text1"/>
              </w:rPr>
              <w:t>Way forward</w:t>
            </w:r>
          </w:p>
          <w:p w14:paraId="7ABF261F" w14:textId="77777777" w:rsidR="00FC6F28" w:rsidRPr="00A42282" w:rsidRDefault="00FC6F28" w:rsidP="005942DF">
            <w:pPr>
              <w:pStyle w:val="a7"/>
              <w:numPr>
                <w:ilvl w:val="0"/>
                <w:numId w:val="43"/>
              </w:numPr>
              <w:overflowPunct w:val="0"/>
              <w:autoSpaceDE w:val="0"/>
              <w:autoSpaceDN w:val="0"/>
              <w:adjustRightInd w:val="0"/>
              <w:spacing w:afterLines="0" w:after="120" w:line="240" w:lineRule="auto"/>
              <w:ind w:leftChars="0" w:left="1037" w:hanging="357"/>
              <w:contextualSpacing/>
              <w:textAlignment w:val="baseline"/>
              <w:rPr>
                <w:color w:val="000000" w:themeColor="text1"/>
              </w:rPr>
            </w:pPr>
            <w:r w:rsidRPr="00A42282">
              <w:rPr>
                <w:color w:val="000000" w:themeColor="text1"/>
              </w:rPr>
              <w:t>RAN4 do not introduce the specific requirements for SBFD-SBFD co-ex case for FR1 WA or MR BS in Rel-19. SBFD-SBFD co-ex case can be considered for Rel-20.</w:t>
            </w:r>
          </w:p>
        </w:tc>
      </w:tr>
    </w:tbl>
    <w:p w14:paraId="65E987D7" w14:textId="77777777" w:rsidR="00FC6F28" w:rsidRDefault="00FC6F28" w:rsidP="00FC6F28">
      <w:pPr>
        <w:pStyle w:val="0Maintext"/>
        <w:spacing w:beforeLines="15" w:before="36" w:afterLines="0" w:after="60" w:line="276" w:lineRule="auto"/>
        <w:rPr>
          <w:color w:val="000000" w:themeColor="text1"/>
          <w:lang w:eastAsia="x-none"/>
        </w:rPr>
      </w:pPr>
      <w:r>
        <w:rPr>
          <w:rFonts w:hint="eastAsia"/>
          <w:lang w:eastAsia="ko-KR"/>
        </w:rPr>
        <w:t>I</w:t>
      </w:r>
      <w:r>
        <w:rPr>
          <w:lang w:eastAsia="ko-KR"/>
        </w:rPr>
        <w:t>n RAN#108, it is agreed to continue investigating the S</w:t>
      </w:r>
      <w:r w:rsidRPr="004E0714">
        <w:rPr>
          <w:color w:val="000000" w:themeColor="text1"/>
          <w:lang w:eastAsia="x-none"/>
        </w:rPr>
        <w:t>BFD BS to SBFD BS adjacent channel coexistence</w:t>
      </w:r>
      <w:r>
        <w:rPr>
          <w:color w:val="000000" w:themeColor="text1"/>
          <w:lang w:eastAsia="x-none"/>
        </w:rPr>
        <w:t>, but focusing on the more realistic deployment scenarios.</w:t>
      </w:r>
    </w:p>
    <w:tbl>
      <w:tblPr>
        <w:tblStyle w:val="a5"/>
        <w:tblW w:w="0" w:type="auto"/>
        <w:tblLook w:val="04A0" w:firstRow="1" w:lastRow="0" w:firstColumn="1" w:lastColumn="0" w:noHBand="0" w:noVBand="1"/>
      </w:tblPr>
      <w:tblGrid>
        <w:gridCol w:w="9855"/>
      </w:tblGrid>
      <w:tr w:rsidR="00FC6F28" w:rsidRPr="00306BD4" w14:paraId="3F7D7F0A" w14:textId="77777777" w:rsidTr="005942DF">
        <w:tc>
          <w:tcPr>
            <w:tcW w:w="10063" w:type="dxa"/>
          </w:tcPr>
          <w:p w14:paraId="4B0D360C" w14:textId="77777777" w:rsidR="00FC6F28" w:rsidRPr="00F22F1B" w:rsidRDefault="00FC6F28" w:rsidP="005942DF">
            <w:pPr>
              <w:spacing w:after="48"/>
              <w:rPr>
                <w:b/>
              </w:rPr>
            </w:pPr>
            <w:r>
              <w:rPr>
                <w:b/>
              </w:rPr>
              <w:t xml:space="preserve">6 </w:t>
            </w:r>
            <w:r w:rsidRPr="00F22F1B">
              <w:rPr>
                <w:b/>
              </w:rPr>
              <w:t xml:space="preserve">BS RF centric evolution </w:t>
            </w:r>
          </w:p>
          <w:p w14:paraId="54DF3643" w14:textId="77777777" w:rsidR="00FC6F28" w:rsidRPr="00F22F1B" w:rsidRDefault="00FC6F28" w:rsidP="005942DF">
            <w:pPr>
              <w:spacing w:after="48"/>
              <w:rPr>
                <w:b/>
              </w:rPr>
            </w:pPr>
            <w:r>
              <w:rPr>
                <w:b/>
              </w:rPr>
              <w:t xml:space="preserve">6.1 </w:t>
            </w:r>
            <w:r w:rsidRPr="00F22F1B">
              <w:rPr>
                <w:b/>
              </w:rPr>
              <w:t>Agreements:</w:t>
            </w:r>
          </w:p>
          <w:p w14:paraId="12318242" w14:textId="77777777" w:rsidR="00FC6F28" w:rsidRPr="004E0714" w:rsidRDefault="00FC6F28" w:rsidP="005942DF">
            <w:pPr>
              <w:spacing w:after="48"/>
              <w:ind w:leftChars="100" w:left="200"/>
              <w:rPr>
                <w:b/>
                <w:bCs/>
                <w:lang w:eastAsia="x-none"/>
              </w:rPr>
            </w:pPr>
            <w:r w:rsidRPr="004E0714">
              <w:rPr>
                <w:b/>
                <w:bCs/>
                <w:color w:val="000000" w:themeColor="text1"/>
              </w:rPr>
              <w:t>The high-level scope</w:t>
            </w:r>
            <w:r w:rsidRPr="004E0714">
              <w:rPr>
                <w:b/>
                <w:bCs/>
                <w:color w:val="000000" w:themeColor="text1"/>
                <w:lang w:eastAsia="x-none"/>
              </w:rPr>
              <w:t xml:space="preserve"> for WI on BS RF centric evolution </w:t>
            </w:r>
            <w:r w:rsidRPr="004E0714">
              <w:rPr>
                <w:b/>
                <w:bCs/>
              </w:rPr>
              <w:t>(the exact scope and WID draft will be discussed and decided in RAN#109)</w:t>
            </w:r>
            <w:r w:rsidRPr="004E0714">
              <w:rPr>
                <w:b/>
                <w:bCs/>
                <w:lang w:eastAsia="x-none"/>
              </w:rPr>
              <w:t>:</w:t>
            </w:r>
          </w:p>
          <w:p w14:paraId="105ED042" w14:textId="77777777" w:rsidR="00FC6F28" w:rsidRPr="004E0714" w:rsidRDefault="00FC6F28" w:rsidP="005942DF">
            <w:pPr>
              <w:pStyle w:val="a7"/>
              <w:numPr>
                <w:ilvl w:val="0"/>
                <w:numId w:val="46"/>
              </w:numPr>
              <w:spacing w:afterLines="0" w:after="12" w:line="240" w:lineRule="auto"/>
              <w:ind w:leftChars="0" w:hanging="357"/>
              <w:contextualSpacing/>
              <w:rPr>
                <w:color w:val="000000" w:themeColor="text1"/>
                <w:lang w:eastAsia="x-none"/>
              </w:rPr>
            </w:pPr>
            <w:r w:rsidRPr="004E0714">
              <w:rPr>
                <w:color w:val="000000" w:themeColor="text1"/>
                <w:lang w:eastAsia="x-none"/>
              </w:rPr>
              <w:t>Enhancement of co-location requirements</w:t>
            </w:r>
          </w:p>
          <w:p w14:paraId="206822E2" w14:textId="77777777" w:rsidR="00FC6F28" w:rsidRPr="00F22F1B"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F22F1B">
              <w:t xml:space="preserve">It is FFS on the applicable frequency ranges, </w:t>
            </w:r>
            <w:proofErr w:type="gramStart"/>
            <w:r w:rsidRPr="00F22F1B">
              <w:t>e.g.</w:t>
            </w:r>
            <w:proofErr w:type="gramEnd"/>
            <w:r w:rsidRPr="00F22F1B">
              <w:t xml:space="preserve"> &gt;3GHz requirements, for OTA</w:t>
            </w:r>
          </w:p>
          <w:p w14:paraId="560F06B3" w14:textId="77777777" w:rsidR="00FC6F28" w:rsidRPr="00F22F1B"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F22F1B">
              <w:t>R19 outcome should be considered</w:t>
            </w:r>
          </w:p>
          <w:p w14:paraId="1980EFA0" w14:textId="77777777" w:rsidR="00FC6F28" w:rsidRPr="00F22F1B"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F22F1B">
              <w:t>Coexistence requirement enhancement can be further discussed in RAN#109</w:t>
            </w:r>
          </w:p>
          <w:p w14:paraId="02758480" w14:textId="77777777" w:rsidR="00FC6F28" w:rsidRPr="004E0714" w:rsidRDefault="00FC6F28" w:rsidP="005942DF">
            <w:pPr>
              <w:numPr>
                <w:ilvl w:val="0"/>
                <w:numId w:val="45"/>
              </w:numPr>
              <w:spacing w:afterLines="0" w:after="12" w:line="240" w:lineRule="auto"/>
              <w:ind w:hanging="357"/>
              <w:rPr>
                <w:color w:val="000000" w:themeColor="text1"/>
                <w:lang w:eastAsia="x-none"/>
              </w:rPr>
            </w:pPr>
            <w:r w:rsidRPr="004E0714">
              <w:rPr>
                <w:color w:val="000000" w:themeColor="text1"/>
                <w:lang w:eastAsia="x-none"/>
              </w:rPr>
              <w:t xml:space="preserve">Down select from the following </w:t>
            </w:r>
            <w:r>
              <w:rPr>
                <w:color w:val="000000" w:themeColor="text1"/>
                <w:lang w:eastAsia="x-none"/>
              </w:rPr>
              <w:t>four</w:t>
            </w:r>
            <w:r w:rsidRPr="004E0714">
              <w:rPr>
                <w:color w:val="000000" w:themeColor="text1"/>
                <w:lang w:eastAsia="x-none"/>
              </w:rPr>
              <w:t xml:space="preserve"> options in RAN#109</w:t>
            </w:r>
          </w:p>
          <w:p w14:paraId="7168DEE4" w14:textId="77777777" w:rsidR="00FC6F28" w:rsidRPr="00F22F1B"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F22F1B">
              <w:t>Additional Hybrid requirement sets for BS type 1-H/large antenna array</w:t>
            </w:r>
          </w:p>
          <w:p w14:paraId="5F3BBA1A" w14:textId="77777777" w:rsidR="00FC6F28" w:rsidRPr="004E0714"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rPr>
                <w:color w:val="000000" w:themeColor="text1"/>
                <w:lang w:eastAsia="x-none"/>
              </w:rPr>
            </w:pPr>
            <w:r w:rsidRPr="00F22F1B">
              <w:t xml:space="preserve">SBFD </w:t>
            </w:r>
            <w:r w:rsidRPr="004E0714">
              <w:rPr>
                <w:color w:val="000000" w:themeColor="text1"/>
                <w:lang w:eastAsia="x-none"/>
              </w:rPr>
              <w:t>BS to SBFD BS adjacent channel coexistence – focusing on realistic deployment scenarios</w:t>
            </w:r>
          </w:p>
          <w:p w14:paraId="115F7028" w14:textId="77777777" w:rsidR="00FC6F28" w:rsidRPr="004E0714" w:rsidRDefault="00FC6F28" w:rsidP="005942DF">
            <w:pPr>
              <w:numPr>
                <w:ilvl w:val="2"/>
                <w:numId w:val="45"/>
              </w:numPr>
              <w:spacing w:afterLines="0" w:after="12" w:line="240" w:lineRule="auto"/>
              <w:ind w:left="1321" w:hanging="357"/>
              <w:rPr>
                <w:color w:val="000000" w:themeColor="text1"/>
                <w:lang w:eastAsia="x-none"/>
              </w:rPr>
            </w:pPr>
            <w:r w:rsidRPr="004E0714">
              <w:rPr>
                <w:color w:val="000000" w:themeColor="text1"/>
                <w:lang w:eastAsia="x-none"/>
              </w:rPr>
              <w:t>It is limited to RAN4 only solution</w:t>
            </w:r>
          </w:p>
          <w:p w14:paraId="155E79E9" w14:textId="77777777" w:rsidR="00FC6F28" w:rsidRPr="00F22F1B"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F22F1B">
              <w:t>Neither</w:t>
            </w:r>
          </w:p>
          <w:p w14:paraId="6477AF24" w14:textId="77777777" w:rsidR="00FC6F28" w:rsidRPr="00F22F1B" w:rsidRDefault="00FC6F28" w:rsidP="005942DF">
            <w:pPr>
              <w:pStyle w:val="a7"/>
              <w:numPr>
                <w:ilvl w:val="1"/>
                <w:numId w:val="44"/>
              </w:numPr>
              <w:overflowPunct w:val="0"/>
              <w:autoSpaceDE w:val="0"/>
              <w:autoSpaceDN w:val="0"/>
              <w:adjustRightInd w:val="0"/>
              <w:spacing w:afterLines="0" w:after="12" w:line="240" w:lineRule="auto"/>
              <w:ind w:leftChars="0" w:left="998" w:hanging="442"/>
              <w:textAlignment w:val="baseline"/>
            </w:pPr>
            <w:r w:rsidRPr="00F22F1B">
              <w:t>Both</w:t>
            </w:r>
          </w:p>
          <w:p w14:paraId="5E86ED90" w14:textId="77777777" w:rsidR="00FC6F28" w:rsidRPr="004E0714" w:rsidRDefault="00FC6F28" w:rsidP="005942DF">
            <w:pPr>
              <w:numPr>
                <w:ilvl w:val="0"/>
                <w:numId w:val="45"/>
              </w:numPr>
              <w:spacing w:afterLines="0" w:after="12" w:line="240" w:lineRule="auto"/>
              <w:ind w:hanging="357"/>
              <w:rPr>
                <w:color w:val="000000" w:themeColor="text1"/>
                <w:lang w:eastAsia="x-none"/>
              </w:rPr>
            </w:pPr>
            <w:r w:rsidRPr="004E0714">
              <w:rPr>
                <w:color w:val="000000" w:themeColor="text1"/>
                <w:lang w:eastAsia="x-none"/>
              </w:rPr>
              <w:t>No RAN1/2 impact is expected</w:t>
            </w:r>
          </w:p>
          <w:p w14:paraId="7954A652" w14:textId="77777777" w:rsidR="00FC6F28" w:rsidRPr="00F22F1B" w:rsidRDefault="00FC6F28" w:rsidP="005942DF">
            <w:pPr>
              <w:numPr>
                <w:ilvl w:val="0"/>
                <w:numId w:val="45"/>
              </w:numPr>
              <w:spacing w:afterLines="0" w:after="12" w:line="240" w:lineRule="auto"/>
              <w:ind w:hanging="357"/>
              <w:rPr>
                <w:color w:val="000000" w:themeColor="text1"/>
                <w:lang w:eastAsia="x-none"/>
              </w:rPr>
            </w:pPr>
            <w:r w:rsidRPr="004E0714">
              <w:rPr>
                <w:color w:val="000000" w:themeColor="text1"/>
                <w:lang w:eastAsia="x-none"/>
              </w:rPr>
              <w:t>Target 0.5RF TU in Q4’25 and 1 TU allocation from Q1’26.</w:t>
            </w:r>
          </w:p>
        </w:tc>
      </w:tr>
    </w:tbl>
    <w:p w14:paraId="4C7F8829" w14:textId="77777777" w:rsidR="00FC6F28" w:rsidRPr="00A90D15" w:rsidRDefault="00FC6F28" w:rsidP="00FC6F28">
      <w:pPr>
        <w:pStyle w:val="0Maintext"/>
        <w:spacing w:beforeLines="15" w:before="36" w:afterLines="0" w:after="60" w:line="276" w:lineRule="auto"/>
        <w:rPr>
          <w:vertAlign w:val="superscript"/>
          <w:lang w:eastAsia="ko-KR"/>
        </w:rPr>
      </w:pPr>
      <w:r>
        <w:rPr>
          <w:rFonts w:hint="eastAsia"/>
          <w:lang w:eastAsia="ko-KR"/>
        </w:rPr>
        <w:t>I</w:t>
      </w:r>
      <w:r>
        <w:rPr>
          <w:lang w:eastAsia="ko-KR"/>
        </w:rPr>
        <w:t>n RAN#109, the new work item (WI) entitled “</w:t>
      </w:r>
      <w:r w:rsidRPr="00A30C09">
        <w:rPr>
          <w:lang w:eastAsia="ko-KR"/>
        </w:rPr>
        <w:t>NR base station (BS) RF requirement evolution for FR1 and testing phase 2</w:t>
      </w:r>
      <w:r>
        <w:rPr>
          <w:lang w:eastAsia="ko-KR"/>
        </w:rPr>
        <w:t>” has been approved to further investigate the co-location requirements enhancement and SBFD BS to SBFD BS adjacent co-existence problems in Rel-20</w:t>
      </w:r>
      <w:r>
        <w:rPr>
          <w:vertAlign w:val="superscript"/>
          <w:lang w:eastAsia="ko-KR"/>
        </w:rPr>
        <w:t xml:space="preserve"> [3]</w:t>
      </w:r>
      <w:r>
        <w:rPr>
          <w:lang w:eastAsia="ko-KR"/>
        </w:rPr>
        <w:t>.</w:t>
      </w:r>
    </w:p>
    <w:tbl>
      <w:tblPr>
        <w:tblStyle w:val="a5"/>
        <w:tblW w:w="0" w:type="auto"/>
        <w:tblLook w:val="04A0" w:firstRow="1" w:lastRow="0" w:firstColumn="1" w:lastColumn="0" w:noHBand="0" w:noVBand="1"/>
      </w:tblPr>
      <w:tblGrid>
        <w:gridCol w:w="9855"/>
      </w:tblGrid>
      <w:tr w:rsidR="00FC6F28" w:rsidRPr="00306BD4" w14:paraId="6583C955" w14:textId="77777777" w:rsidTr="005942DF">
        <w:tc>
          <w:tcPr>
            <w:tcW w:w="10063" w:type="dxa"/>
          </w:tcPr>
          <w:p w14:paraId="53976B74" w14:textId="77777777" w:rsidR="00FC6F28" w:rsidRDefault="00FC6F28" w:rsidP="005942DF">
            <w:pPr>
              <w:spacing w:after="48"/>
              <w:rPr>
                <w:b/>
              </w:rPr>
            </w:pPr>
            <w:r>
              <w:rPr>
                <w:b/>
              </w:rPr>
              <w:t>SBFD BS to SBFD BS adjacent channel co-existence</w:t>
            </w:r>
          </w:p>
          <w:p w14:paraId="730223D2" w14:textId="77777777" w:rsidR="00FC6F28" w:rsidRPr="009E5BC8" w:rsidRDefault="00FC6F28" w:rsidP="005942DF">
            <w:pPr>
              <w:pStyle w:val="a7"/>
              <w:numPr>
                <w:ilvl w:val="0"/>
                <w:numId w:val="44"/>
              </w:numPr>
              <w:overflowPunct w:val="0"/>
              <w:autoSpaceDE w:val="0"/>
              <w:autoSpaceDN w:val="0"/>
              <w:adjustRightInd w:val="0"/>
              <w:spacing w:afterLines="0" w:after="12" w:line="240" w:lineRule="auto"/>
              <w:ind w:leftChars="0"/>
              <w:textAlignment w:val="baseline"/>
              <w:rPr>
                <w:lang w:eastAsia="zh-CN"/>
              </w:rPr>
            </w:pPr>
            <w:r w:rsidRPr="009E5BC8">
              <w:rPr>
                <w:lang w:eastAsia="zh-CN"/>
              </w:rPr>
              <w:t>SBFD BS to SBFD BS adjacent channel coexistence</w:t>
            </w:r>
          </w:p>
          <w:p w14:paraId="34251199" w14:textId="77777777" w:rsidR="00FC6F28" w:rsidRPr="009E5BC8"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9E5BC8">
              <w:t xml:space="preserve">Focus on FR1 WA. </w:t>
            </w:r>
          </w:p>
          <w:p w14:paraId="0D20DA0D" w14:textId="77777777" w:rsidR="00FC6F28" w:rsidRPr="009E5BC8"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9E5BC8">
              <w:t>Consider both scenarios including SBFD capable BS being co-located and non-collocated.</w:t>
            </w:r>
          </w:p>
          <w:p w14:paraId="4059D26E" w14:textId="77777777" w:rsidR="00FC6F28" w:rsidRPr="009622A3"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rPr>
                <w:lang w:val="pt-BR"/>
              </w:rPr>
            </w:pPr>
            <w:r w:rsidRPr="009622A3">
              <w:rPr>
                <w:lang w:val="pt-BR"/>
              </w:rPr>
              <w:t xml:space="preserve">Focus on bands: n104, n79, n41. </w:t>
            </w:r>
          </w:p>
          <w:p w14:paraId="50EA9828" w14:textId="77777777" w:rsidR="00FC6F28" w:rsidRPr="009E5BC8"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9E5BC8">
              <w:t>Specify necessary (and if feasible) BS TX and RX RF requirement for SBFD-capable BS for the scenarios of SBFD BS to SBFD BS adjacent channel coexistence. The BS RF requirements include</w:t>
            </w:r>
          </w:p>
          <w:p w14:paraId="52DC1A56" w14:textId="77777777" w:rsidR="00FC6F28" w:rsidRPr="009E5BC8" w:rsidRDefault="00FC6F28" w:rsidP="005942DF">
            <w:pPr>
              <w:pStyle w:val="a7"/>
              <w:numPr>
                <w:ilvl w:val="2"/>
                <w:numId w:val="44"/>
              </w:numPr>
              <w:overflowPunct w:val="0"/>
              <w:autoSpaceDE w:val="0"/>
              <w:autoSpaceDN w:val="0"/>
              <w:adjustRightInd w:val="0"/>
              <w:spacing w:afterLines="0" w:after="12" w:line="240" w:lineRule="auto"/>
              <w:ind w:leftChars="0" w:left="1418"/>
              <w:textAlignment w:val="baseline"/>
            </w:pPr>
            <w:r w:rsidRPr="009E5BC8">
              <w:t>TX unwanted emission</w:t>
            </w:r>
          </w:p>
          <w:p w14:paraId="60EB2CFB" w14:textId="77777777" w:rsidR="00FC6F28" w:rsidRPr="009E5BC8" w:rsidRDefault="00FC6F28" w:rsidP="005942DF">
            <w:pPr>
              <w:pStyle w:val="a7"/>
              <w:numPr>
                <w:ilvl w:val="2"/>
                <w:numId w:val="44"/>
              </w:numPr>
              <w:overflowPunct w:val="0"/>
              <w:autoSpaceDE w:val="0"/>
              <w:autoSpaceDN w:val="0"/>
              <w:adjustRightInd w:val="0"/>
              <w:spacing w:afterLines="0" w:after="12" w:line="240" w:lineRule="auto"/>
              <w:ind w:leftChars="0" w:left="1418"/>
              <w:textAlignment w:val="baseline"/>
            </w:pPr>
            <w:r w:rsidRPr="009E5BC8">
              <w:t>RX in-band blocking</w:t>
            </w:r>
          </w:p>
          <w:p w14:paraId="39298DEC" w14:textId="77777777" w:rsidR="00FC6F28" w:rsidRPr="009E5BC8" w:rsidRDefault="00FC6F28" w:rsidP="005942DF">
            <w:pPr>
              <w:pStyle w:val="a7"/>
              <w:numPr>
                <w:ilvl w:val="1"/>
                <w:numId w:val="44"/>
              </w:numPr>
              <w:overflowPunct w:val="0"/>
              <w:autoSpaceDE w:val="0"/>
              <w:autoSpaceDN w:val="0"/>
              <w:adjustRightInd w:val="0"/>
              <w:spacing w:afterLines="0" w:after="12" w:line="240" w:lineRule="auto"/>
              <w:ind w:leftChars="0" w:left="993"/>
              <w:textAlignment w:val="baseline"/>
            </w:pPr>
            <w:r w:rsidRPr="009E5BC8">
              <w:lastRenderedPageBreak/>
              <w:t>Note 1: whether to comply with requirements is declared by BS.</w:t>
            </w:r>
          </w:p>
          <w:p w14:paraId="0A36706D" w14:textId="77777777" w:rsidR="00FC6F28" w:rsidRPr="009E5BC8" w:rsidRDefault="00FC6F28" w:rsidP="005942DF">
            <w:pPr>
              <w:pStyle w:val="a7"/>
              <w:numPr>
                <w:ilvl w:val="1"/>
                <w:numId w:val="44"/>
              </w:numPr>
              <w:overflowPunct w:val="0"/>
              <w:autoSpaceDE w:val="0"/>
              <w:autoSpaceDN w:val="0"/>
              <w:adjustRightInd w:val="0"/>
              <w:spacing w:afterLines="0" w:after="12" w:line="240" w:lineRule="auto"/>
              <w:ind w:leftChars="0" w:left="998" w:hanging="442"/>
              <w:textAlignment w:val="baseline"/>
              <w:rPr>
                <w:color w:val="C00000"/>
              </w:rPr>
            </w:pPr>
            <w:r w:rsidRPr="009E5BC8">
              <w:t>Note 2: The existing TDD requirements apply for non-SBFD BSs</w:t>
            </w:r>
          </w:p>
        </w:tc>
      </w:tr>
    </w:tbl>
    <w:p w14:paraId="0BCFA384" w14:textId="77777777" w:rsidR="00FC6F28" w:rsidRDefault="00FC6F28" w:rsidP="00FC6F28">
      <w:pPr>
        <w:pStyle w:val="0Maintext"/>
        <w:spacing w:before="12" w:after="48" w:line="276" w:lineRule="auto"/>
        <w:rPr>
          <w:lang w:eastAsia="ko-KR"/>
        </w:rPr>
      </w:pPr>
      <w:r w:rsidRPr="00306BD4">
        <w:rPr>
          <w:lang w:eastAsia="ko-KR"/>
        </w:rPr>
        <w:lastRenderedPageBreak/>
        <w:t xml:space="preserve">In this contribution, we discuss </w:t>
      </w:r>
      <w:r>
        <w:rPr>
          <w:lang w:eastAsia="ko-KR"/>
        </w:rPr>
        <w:t>the SBFD BS to SBFD BS (SBFD-SBFD) adjacent channel co-existence problem and corresponding evaluation requirements</w:t>
      </w:r>
      <w:r w:rsidRPr="00306BD4">
        <w:rPr>
          <w:lang w:eastAsia="ko-KR"/>
        </w:rPr>
        <w:t>.</w:t>
      </w:r>
    </w:p>
    <w:p w14:paraId="0DA4A3EE" w14:textId="5EFCA82F" w:rsidR="00973B48" w:rsidRPr="008F0AEF" w:rsidRDefault="009C7E0C" w:rsidP="008F0AEF">
      <w:pPr>
        <w:pStyle w:val="1"/>
        <w:spacing w:before="180" w:after="72"/>
      </w:pPr>
      <w:r>
        <w:t xml:space="preserve">SBFD BS to SBFD BS Adjacent Channel Coexistence </w:t>
      </w:r>
      <w:r w:rsidR="00633F05" w:rsidRPr="008F0AEF">
        <w:t>Discussion</w:t>
      </w:r>
    </w:p>
    <w:p w14:paraId="10A02B5F" w14:textId="3749B24B" w:rsidR="00441DCF" w:rsidRDefault="00441DCF" w:rsidP="00441DCF">
      <w:pPr>
        <w:pStyle w:val="2"/>
        <w:spacing w:before="36" w:after="60"/>
      </w:pPr>
      <w:r>
        <w:rPr>
          <w:rFonts w:hint="eastAsia"/>
        </w:rPr>
        <w:t>2</w:t>
      </w:r>
      <w:r>
        <w:t xml:space="preserve">.1 Frequency Band </w:t>
      </w:r>
      <w:r w:rsidR="008F37F4">
        <w:t>Discussion</w:t>
      </w:r>
    </w:p>
    <w:p w14:paraId="2149B626" w14:textId="5B38D693" w:rsidR="008F37F4" w:rsidRDefault="008F37F4" w:rsidP="008F37F4">
      <w:pPr>
        <w:spacing w:after="48"/>
      </w:pPr>
      <w:r>
        <w:rPr>
          <w:rFonts w:hint="eastAsia"/>
        </w:rPr>
        <w:t>I</w:t>
      </w:r>
      <w:r>
        <w:t>n RAN#109, it is approve</w:t>
      </w:r>
      <w:r w:rsidR="008B32DB">
        <w:t>d</w:t>
      </w:r>
      <w:r>
        <w:t xml:space="preserve"> that the new SBFD––SBFD adjacent coexistence study focuses on bands n104, n79, n41.</w:t>
      </w:r>
      <w:r w:rsidR="008B32DB">
        <w:t xml:space="preserve"> Based on TS 38.104, the definitions of these operating bands are summarized below</w:t>
      </w:r>
      <w:r w:rsidR="00927F49">
        <w:t>:</w:t>
      </w:r>
    </w:p>
    <w:p w14:paraId="666ECC07" w14:textId="345E7D63" w:rsidR="008B32DB" w:rsidRPr="008B32DB" w:rsidRDefault="008B32DB" w:rsidP="008B32DB">
      <w:pPr>
        <w:pStyle w:val="TH"/>
        <w:spacing w:after="48"/>
        <w:rPr>
          <w:vertAlign w:val="superscript"/>
        </w:rPr>
      </w:pPr>
      <w:r w:rsidRPr="008B32DB">
        <w:t>Table 1: NR operating bands in FR1</w:t>
      </w:r>
      <w:r w:rsidR="00BD65CC">
        <w:t xml:space="preserve"> for SBFD</w:t>
      </w:r>
      <w:r w:rsidR="00D5292C">
        <w:t xml:space="preserve"> </w:t>
      </w:r>
      <w:r w:rsidRPr="008B32DB">
        <w:rPr>
          <w:vertAlign w:val="superscript"/>
        </w:rPr>
        <w:t>[4]</w:t>
      </w:r>
    </w:p>
    <w:tbl>
      <w:tblPr>
        <w:tblStyle w:val="a5"/>
        <w:tblW w:w="0" w:type="auto"/>
        <w:jc w:val="center"/>
        <w:tblLook w:val="04A0" w:firstRow="1" w:lastRow="0" w:firstColumn="1" w:lastColumn="0" w:noHBand="0" w:noVBand="1"/>
      </w:tblPr>
      <w:tblGrid>
        <w:gridCol w:w="1304"/>
        <w:gridCol w:w="2835"/>
        <w:gridCol w:w="2835"/>
        <w:gridCol w:w="1417"/>
        <w:gridCol w:w="1134"/>
      </w:tblGrid>
      <w:tr w:rsidR="008B32DB" w14:paraId="6EA5489F" w14:textId="77777777" w:rsidTr="00751F6B">
        <w:trPr>
          <w:jc w:val="center"/>
        </w:trPr>
        <w:tc>
          <w:tcPr>
            <w:tcW w:w="1304" w:type="dxa"/>
            <w:vAlign w:val="center"/>
          </w:tcPr>
          <w:p w14:paraId="40909103" w14:textId="5244B4FC" w:rsidR="008B32DB" w:rsidRDefault="008B32DB" w:rsidP="00751F6B">
            <w:pPr>
              <w:spacing w:after="48"/>
              <w:jc w:val="center"/>
            </w:pPr>
            <w:r w:rsidRPr="008B32DB">
              <w:t>NR</w:t>
            </w:r>
            <w:r w:rsidR="00751F6B">
              <w:br/>
            </w:r>
            <w:r w:rsidRPr="008B32DB">
              <w:t>operating</w:t>
            </w:r>
            <w:r w:rsidR="00751F6B">
              <w:br/>
            </w:r>
            <w:r w:rsidRPr="008B32DB">
              <w:t>band</w:t>
            </w:r>
          </w:p>
        </w:tc>
        <w:tc>
          <w:tcPr>
            <w:tcW w:w="2835" w:type="dxa"/>
            <w:vAlign w:val="center"/>
          </w:tcPr>
          <w:p w14:paraId="52DD9D0E" w14:textId="77777777" w:rsidR="008B32DB" w:rsidRDefault="008B32DB" w:rsidP="008B32DB">
            <w:pPr>
              <w:spacing w:after="48"/>
              <w:jc w:val="center"/>
            </w:pPr>
            <w:r>
              <w:t>Uplink (UL) operating band</w:t>
            </w:r>
          </w:p>
          <w:p w14:paraId="7659D171" w14:textId="0D836B71" w:rsidR="008B32DB" w:rsidRDefault="008B32DB" w:rsidP="008B32DB">
            <w:pPr>
              <w:spacing w:after="48"/>
              <w:jc w:val="center"/>
            </w:pPr>
            <w:r>
              <w:t>BS receive / UE transmit</w:t>
            </w:r>
          </w:p>
          <w:p w14:paraId="0517F86F" w14:textId="494DA093" w:rsidR="008B32DB" w:rsidRPr="000A6773" w:rsidRDefault="008B32DB" w:rsidP="008B32DB">
            <w:pPr>
              <w:spacing w:after="48"/>
              <w:jc w:val="center"/>
            </w:pPr>
            <w:r>
              <w:t>F</w:t>
            </w:r>
            <w:r w:rsidRPr="008B32DB">
              <w:rPr>
                <w:vertAlign w:val="subscript"/>
              </w:rPr>
              <w:t>UL,</w:t>
            </w:r>
            <w:r w:rsidR="00BD65CC">
              <w:rPr>
                <w:vertAlign w:val="subscript"/>
              </w:rPr>
              <w:t xml:space="preserve"> </w:t>
            </w:r>
            <w:r w:rsidRPr="008B32DB">
              <w:rPr>
                <w:vertAlign w:val="subscript"/>
              </w:rPr>
              <w:t>low</w:t>
            </w:r>
            <w:r>
              <w:t xml:space="preserve"> – F</w:t>
            </w:r>
            <w:r w:rsidRPr="000A6773">
              <w:rPr>
                <w:vertAlign w:val="subscript"/>
              </w:rPr>
              <w:t>UL,</w:t>
            </w:r>
            <w:r w:rsidR="00BD65CC">
              <w:rPr>
                <w:vertAlign w:val="subscript"/>
              </w:rPr>
              <w:t xml:space="preserve"> </w:t>
            </w:r>
            <w:r w:rsidRPr="000A6773">
              <w:rPr>
                <w:vertAlign w:val="subscript"/>
              </w:rPr>
              <w:t>high</w:t>
            </w:r>
            <w:r w:rsidR="00BD65CC">
              <w:rPr>
                <w:vertAlign w:val="subscript"/>
              </w:rPr>
              <w:t xml:space="preserve"> </w:t>
            </w:r>
            <w:r w:rsidR="000A6773">
              <w:t>(MHz)</w:t>
            </w:r>
          </w:p>
        </w:tc>
        <w:tc>
          <w:tcPr>
            <w:tcW w:w="2835" w:type="dxa"/>
            <w:vAlign w:val="center"/>
          </w:tcPr>
          <w:p w14:paraId="301FCA9F" w14:textId="77777777" w:rsidR="008B32DB" w:rsidRDefault="008B32DB" w:rsidP="008B32DB">
            <w:pPr>
              <w:spacing w:after="48"/>
              <w:jc w:val="center"/>
            </w:pPr>
            <w:r>
              <w:t>Downlink (DL) operating band</w:t>
            </w:r>
          </w:p>
          <w:p w14:paraId="5D5999DA" w14:textId="4B572A91" w:rsidR="008B32DB" w:rsidRDefault="008B32DB" w:rsidP="000A6773">
            <w:pPr>
              <w:spacing w:after="48"/>
              <w:jc w:val="center"/>
            </w:pPr>
            <w:r>
              <w:t>BS transmit / UE receive</w:t>
            </w:r>
          </w:p>
          <w:p w14:paraId="03A273B9" w14:textId="73C91DFE" w:rsidR="008B32DB" w:rsidRDefault="008B32DB" w:rsidP="008B32DB">
            <w:pPr>
              <w:spacing w:after="48"/>
              <w:jc w:val="center"/>
            </w:pPr>
            <w:r>
              <w:t>F</w:t>
            </w:r>
            <w:r w:rsidRPr="000A6773">
              <w:rPr>
                <w:vertAlign w:val="subscript"/>
              </w:rPr>
              <w:t>DL,</w:t>
            </w:r>
            <w:r w:rsidR="00BD65CC">
              <w:rPr>
                <w:vertAlign w:val="subscript"/>
              </w:rPr>
              <w:t xml:space="preserve"> </w:t>
            </w:r>
            <w:r w:rsidRPr="000A6773">
              <w:rPr>
                <w:vertAlign w:val="subscript"/>
              </w:rPr>
              <w:t>low</w:t>
            </w:r>
            <w:r>
              <w:t xml:space="preserve"> – F</w:t>
            </w:r>
            <w:r w:rsidRPr="000A6773">
              <w:rPr>
                <w:vertAlign w:val="subscript"/>
              </w:rPr>
              <w:t>DL,</w:t>
            </w:r>
            <w:r w:rsidR="00BD65CC">
              <w:rPr>
                <w:vertAlign w:val="subscript"/>
              </w:rPr>
              <w:t xml:space="preserve"> </w:t>
            </w:r>
            <w:r w:rsidRPr="000A6773">
              <w:rPr>
                <w:vertAlign w:val="subscript"/>
              </w:rPr>
              <w:t>high</w:t>
            </w:r>
            <w:r w:rsidR="00BD65CC">
              <w:rPr>
                <w:vertAlign w:val="subscript"/>
              </w:rPr>
              <w:t xml:space="preserve"> </w:t>
            </w:r>
            <w:r w:rsidR="00BD65CC">
              <w:t>(MHz)</w:t>
            </w:r>
          </w:p>
        </w:tc>
        <w:tc>
          <w:tcPr>
            <w:tcW w:w="1417" w:type="dxa"/>
            <w:vAlign w:val="center"/>
          </w:tcPr>
          <w:p w14:paraId="0A3E38EE" w14:textId="6651846C" w:rsidR="008B32DB" w:rsidRDefault="008B32DB" w:rsidP="008B32DB">
            <w:pPr>
              <w:spacing w:after="48"/>
              <w:jc w:val="center"/>
            </w:pPr>
            <w:r w:rsidRPr="008B32DB">
              <w:t>Duplex mode</w:t>
            </w:r>
          </w:p>
        </w:tc>
        <w:tc>
          <w:tcPr>
            <w:tcW w:w="1134" w:type="dxa"/>
            <w:vAlign w:val="center"/>
          </w:tcPr>
          <w:p w14:paraId="101AC932" w14:textId="500EAEFD" w:rsidR="008B32DB" w:rsidRDefault="00751F6B" w:rsidP="008B32DB">
            <w:pPr>
              <w:spacing w:after="48"/>
              <w:jc w:val="center"/>
            </w:pPr>
            <w:r>
              <w:t>Bandwidth</w:t>
            </w:r>
            <w:r w:rsidR="00BD65CC">
              <w:br/>
              <w:t>(MHz)</w:t>
            </w:r>
          </w:p>
        </w:tc>
      </w:tr>
      <w:tr w:rsidR="00BD65CC" w14:paraId="3A447212" w14:textId="77777777" w:rsidTr="00751F6B">
        <w:trPr>
          <w:jc w:val="center"/>
        </w:trPr>
        <w:tc>
          <w:tcPr>
            <w:tcW w:w="1304" w:type="dxa"/>
            <w:vAlign w:val="center"/>
          </w:tcPr>
          <w:p w14:paraId="55DFE436" w14:textId="14C3F0BC" w:rsidR="00BD65CC" w:rsidRDefault="00BD65CC" w:rsidP="00BD65CC">
            <w:pPr>
              <w:spacing w:after="48"/>
              <w:jc w:val="center"/>
            </w:pPr>
            <w:r>
              <w:rPr>
                <w:rFonts w:hint="eastAsia"/>
              </w:rPr>
              <w:t>n</w:t>
            </w:r>
            <w:r>
              <w:t>41</w:t>
            </w:r>
          </w:p>
        </w:tc>
        <w:tc>
          <w:tcPr>
            <w:tcW w:w="2835" w:type="dxa"/>
            <w:vAlign w:val="center"/>
          </w:tcPr>
          <w:p w14:paraId="0942CD8D" w14:textId="74C2FA96" w:rsidR="00BD65CC" w:rsidRDefault="00BD65CC" w:rsidP="00BD65CC">
            <w:pPr>
              <w:spacing w:after="48"/>
              <w:jc w:val="center"/>
            </w:pPr>
            <w:r w:rsidRPr="00751F6B">
              <w:t>2496 – 2690</w:t>
            </w:r>
          </w:p>
        </w:tc>
        <w:tc>
          <w:tcPr>
            <w:tcW w:w="2835" w:type="dxa"/>
            <w:vAlign w:val="center"/>
          </w:tcPr>
          <w:p w14:paraId="62D45D35" w14:textId="16E65C1D" w:rsidR="00BD65CC" w:rsidRDefault="00BD65CC" w:rsidP="00BD65CC">
            <w:pPr>
              <w:spacing w:after="48"/>
              <w:jc w:val="center"/>
            </w:pPr>
            <w:r w:rsidRPr="00751F6B">
              <w:t>2496 – 2690</w:t>
            </w:r>
          </w:p>
        </w:tc>
        <w:tc>
          <w:tcPr>
            <w:tcW w:w="1417" w:type="dxa"/>
            <w:vAlign w:val="center"/>
          </w:tcPr>
          <w:p w14:paraId="0808A2EF" w14:textId="42C051CA" w:rsidR="00BD65CC" w:rsidRDefault="00BD65CC" w:rsidP="00BD65CC">
            <w:pPr>
              <w:spacing w:after="48"/>
              <w:jc w:val="center"/>
            </w:pPr>
            <w:r>
              <w:rPr>
                <w:rFonts w:hint="eastAsia"/>
              </w:rPr>
              <w:t>T</w:t>
            </w:r>
            <w:r>
              <w:t>DD</w:t>
            </w:r>
          </w:p>
        </w:tc>
        <w:tc>
          <w:tcPr>
            <w:tcW w:w="1134" w:type="dxa"/>
            <w:vAlign w:val="center"/>
          </w:tcPr>
          <w:p w14:paraId="4E5F54C9" w14:textId="0E8C007B" w:rsidR="00BD65CC" w:rsidRDefault="00BD65CC" w:rsidP="00BD65CC">
            <w:pPr>
              <w:spacing w:after="48"/>
              <w:jc w:val="center"/>
            </w:pPr>
            <w:r>
              <w:rPr>
                <w:rFonts w:hint="eastAsia"/>
              </w:rPr>
              <w:t>1</w:t>
            </w:r>
            <w:r>
              <w:t>94</w:t>
            </w:r>
          </w:p>
        </w:tc>
      </w:tr>
      <w:tr w:rsidR="00BD65CC" w14:paraId="77E233B0" w14:textId="77777777" w:rsidTr="00751F6B">
        <w:trPr>
          <w:jc w:val="center"/>
        </w:trPr>
        <w:tc>
          <w:tcPr>
            <w:tcW w:w="1304" w:type="dxa"/>
            <w:vAlign w:val="center"/>
          </w:tcPr>
          <w:p w14:paraId="6ED8E837" w14:textId="589877A4" w:rsidR="00BD65CC" w:rsidRDefault="00BD65CC" w:rsidP="00BD65CC">
            <w:pPr>
              <w:spacing w:after="48"/>
              <w:jc w:val="center"/>
            </w:pPr>
            <w:r>
              <w:rPr>
                <w:rFonts w:hint="eastAsia"/>
              </w:rPr>
              <w:t>n</w:t>
            </w:r>
            <w:r>
              <w:t>79</w:t>
            </w:r>
          </w:p>
        </w:tc>
        <w:tc>
          <w:tcPr>
            <w:tcW w:w="2835" w:type="dxa"/>
            <w:vAlign w:val="center"/>
          </w:tcPr>
          <w:p w14:paraId="1251715B" w14:textId="28F6F857" w:rsidR="00BD65CC" w:rsidRDefault="00BD65CC" w:rsidP="00BD65CC">
            <w:pPr>
              <w:spacing w:after="48"/>
              <w:jc w:val="center"/>
            </w:pPr>
            <w:r w:rsidRPr="00751F6B">
              <w:t>4400 – 5000</w:t>
            </w:r>
          </w:p>
        </w:tc>
        <w:tc>
          <w:tcPr>
            <w:tcW w:w="2835" w:type="dxa"/>
            <w:vAlign w:val="center"/>
          </w:tcPr>
          <w:p w14:paraId="59766EC6" w14:textId="1E688F51" w:rsidR="00BD65CC" w:rsidRDefault="00BD65CC" w:rsidP="00BD65CC">
            <w:pPr>
              <w:spacing w:after="48"/>
              <w:jc w:val="center"/>
            </w:pPr>
            <w:r w:rsidRPr="00751F6B">
              <w:t>4400 – 5000</w:t>
            </w:r>
          </w:p>
        </w:tc>
        <w:tc>
          <w:tcPr>
            <w:tcW w:w="1417" w:type="dxa"/>
            <w:vAlign w:val="center"/>
          </w:tcPr>
          <w:p w14:paraId="2F847D0B" w14:textId="3541B84A" w:rsidR="00BD65CC" w:rsidRDefault="00BD65CC" w:rsidP="00BD65CC">
            <w:pPr>
              <w:spacing w:after="48"/>
              <w:jc w:val="center"/>
            </w:pPr>
            <w:r>
              <w:rPr>
                <w:rFonts w:hint="eastAsia"/>
              </w:rPr>
              <w:t>T</w:t>
            </w:r>
            <w:r>
              <w:t>DD</w:t>
            </w:r>
          </w:p>
        </w:tc>
        <w:tc>
          <w:tcPr>
            <w:tcW w:w="1134" w:type="dxa"/>
            <w:vAlign w:val="center"/>
          </w:tcPr>
          <w:p w14:paraId="08BDE40B" w14:textId="6D663264" w:rsidR="00BD65CC" w:rsidRDefault="00BD65CC" w:rsidP="00BD65CC">
            <w:pPr>
              <w:spacing w:after="48"/>
              <w:jc w:val="center"/>
            </w:pPr>
            <w:r>
              <w:t>600</w:t>
            </w:r>
          </w:p>
        </w:tc>
      </w:tr>
      <w:tr w:rsidR="00BD65CC" w14:paraId="2013ED41" w14:textId="77777777" w:rsidTr="00751F6B">
        <w:trPr>
          <w:jc w:val="center"/>
        </w:trPr>
        <w:tc>
          <w:tcPr>
            <w:tcW w:w="1304" w:type="dxa"/>
            <w:vAlign w:val="center"/>
          </w:tcPr>
          <w:p w14:paraId="3BE5E1E5" w14:textId="531C24FB" w:rsidR="00BD65CC" w:rsidRPr="00751F6B" w:rsidRDefault="00BD65CC" w:rsidP="00BD65CC">
            <w:pPr>
              <w:spacing w:after="48"/>
              <w:jc w:val="center"/>
              <w:rPr>
                <w:vertAlign w:val="superscript"/>
              </w:rPr>
            </w:pPr>
            <w:r>
              <w:rPr>
                <w:rFonts w:hint="eastAsia"/>
              </w:rPr>
              <w:t>n</w:t>
            </w:r>
            <w:r>
              <w:t>104</w:t>
            </w:r>
            <w:r>
              <w:rPr>
                <w:vertAlign w:val="superscript"/>
              </w:rPr>
              <w:t xml:space="preserve"> *</w:t>
            </w:r>
          </w:p>
        </w:tc>
        <w:tc>
          <w:tcPr>
            <w:tcW w:w="2835" w:type="dxa"/>
            <w:vAlign w:val="center"/>
          </w:tcPr>
          <w:p w14:paraId="7D17EAE0" w14:textId="36806BF1" w:rsidR="00BD65CC" w:rsidRDefault="00BD65CC" w:rsidP="00BD65CC">
            <w:pPr>
              <w:spacing w:after="48"/>
              <w:jc w:val="center"/>
            </w:pPr>
            <w:r>
              <w:t>6425 – 7125</w:t>
            </w:r>
          </w:p>
        </w:tc>
        <w:tc>
          <w:tcPr>
            <w:tcW w:w="2835" w:type="dxa"/>
            <w:vAlign w:val="center"/>
          </w:tcPr>
          <w:p w14:paraId="199A87AB" w14:textId="2C4ED48B" w:rsidR="00BD65CC" w:rsidRDefault="00BD65CC" w:rsidP="00BD65CC">
            <w:pPr>
              <w:spacing w:after="48"/>
              <w:jc w:val="center"/>
            </w:pPr>
            <w:r>
              <w:t>6425 – 7125</w:t>
            </w:r>
          </w:p>
        </w:tc>
        <w:tc>
          <w:tcPr>
            <w:tcW w:w="1417" w:type="dxa"/>
            <w:vAlign w:val="center"/>
          </w:tcPr>
          <w:p w14:paraId="58535B00" w14:textId="23B6CA5A" w:rsidR="00BD65CC" w:rsidRDefault="00BD65CC" w:rsidP="00BD65CC">
            <w:pPr>
              <w:spacing w:after="48"/>
              <w:jc w:val="center"/>
            </w:pPr>
            <w:r>
              <w:rPr>
                <w:rFonts w:hint="eastAsia"/>
              </w:rPr>
              <w:t>T</w:t>
            </w:r>
            <w:r>
              <w:t>DD</w:t>
            </w:r>
          </w:p>
        </w:tc>
        <w:tc>
          <w:tcPr>
            <w:tcW w:w="1134" w:type="dxa"/>
            <w:vAlign w:val="center"/>
          </w:tcPr>
          <w:p w14:paraId="10D6EB77" w14:textId="6F0CBEBC" w:rsidR="00BD65CC" w:rsidRDefault="00BD65CC" w:rsidP="00BD65CC">
            <w:pPr>
              <w:spacing w:after="48"/>
              <w:jc w:val="center"/>
            </w:pPr>
            <w:r>
              <w:rPr>
                <w:rFonts w:hint="eastAsia"/>
              </w:rPr>
              <w:t>7</w:t>
            </w:r>
            <w:r>
              <w:t>00</w:t>
            </w:r>
          </w:p>
        </w:tc>
      </w:tr>
      <w:tr w:rsidR="00BD65CC" w14:paraId="1D665151" w14:textId="77777777" w:rsidTr="00D747AA">
        <w:trPr>
          <w:jc w:val="center"/>
        </w:trPr>
        <w:tc>
          <w:tcPr>
            <w:tcW w:w="9525" w:type="dxa"/>
            <w:gridSpan w:val="5"/>
            <w:vAlign w:val="center"/>
          </w:tcPr>
          <w:p w14:paraId="4BA1E8A1" w14:textId="5F966162" w:rsidR="00BD65CC" w:rsidRDefault="00BD65CC" w:rsidP="00BD65CC">
            <w:pPr>
              <w:spacing w:after="48"/>
              <w:ind w:left="150" w:hangingChars="75" w:hanging="150"/>
            </w:pPr>
            <w:r>
              <w:t xml:space="preserve">* </w:t>
            </w:r>
            <w:r>
              <w:rPr>
                <w:rFonts w:hint="eastAsia"/>
              </w:rPr>
              <w:t>N</w:t>
            </w:r>
            <w:r>
              <w:t xml:space="preserve">ote: </w:t>
            </w:r>
            <w:r w:rsidRPr="00751F6B">
              <w:t>This band is applicable only in countries/regions designating this band for IMT licensed operation subject to country-specific conditions.</w:t>
            </w:r>
          </w:p>
        </w:tc>
      </w:tr>
    </w:tbl>
    <w:p w14:paraId="79A91BE9" w14:textId="77777777" w:rsidR="00875309" w:rsidRDefault="00875309" w:rsidP="008F37F4">
      <w:pPr>
        <w:spacing w:after="48"/>
      </w:pPr>
    </w:p>
    <w:p w14:paraId="0F32F5C5" w14:textId="77777777" w:rsidR="00875309" w:rsidRDefault="00875309" w:rsidP="008F37F4">
      <w:pPr>
        <w:spacing w:after="48"/>
      </w:pPr>
      <w:r w:rsidRPr="00875309">
        <w:t xml:space="preserve">For the SBFD co-existence study in NR, the carrier frequency of the SBFD BS is assumed to be 4GHz under FR1 deployment scenarios </w:t>
      </w:r>
      <w:r w:rsidRPr="00875309">
        <w:rPr>
          <w:vertAlign w:val="superscript"/>
        </w:rPr>
        <w:t>[7]</w:t>
      </w:r>
      <w:r w:rsidRPr="00875309">
        <w:t>, which is documented in Table E.2.1-1 TR 38.858 Annex E</w:t>
      </w:r>
      <w:r>
        <w:t>, and t</w:t>
      </w:r>
      <w:r w:rsidRPr="00875309">
        <w:t xml:space="preserve">he SBFD-TDD co-existence studies have been conducted under this carrier frequency requirement. </w:t>
      </w:r>
    </w:p>
    <w:p w14:paraId="16DA6B55" w14:textId="167C464D" w:rsidR="008B32DB" w:rsidRDefault="00875309" w:rsidP="008F37F4">
      <w:pPr>
        <w:spacing w:after="48"/>
      </w:pPr>
      <w:r>
        <w:t xml:space="preserve">Noticed that in Table 1, the bandwidths for band n79 and band n104 are 600MHz and 700MHz, respectively. But there is only 196MHz for band n41. </w:t>
      </w:r>
      <w:r w:rsidR="0079127E">
        <w:t xml:space="preserve">For band n104, since the frequency range has not been used extensive, it is convenient for vendors to deploy SBFD BS in this band with less coexistence issues. </w:t>
      </w:r>
      <w:r>
        <w:t>C</w:t>
      </w:r>
      <w:r w:rsidRPr="00875309">
        <w:t xml:space="preserve">oncerning the future evolutions of full-duplex techniques as well as </w:t>
      </w:r>
      <w:r w:rsidR="00D0259A">
        <w:t xml:space="preserve">the freedom of deployment, </w:t>
      </w:r>
      <w:r>
        <w:t>it is recommended that RAN4 prioritize the SBFD–SBFD adjacent coexistence study on bands n</w:t>
      </w:r>
      <w:r w:rsidR="00C4470E">
        <w:t>104</w:t>
      </w:r>
      <w:r>
        <w:t>.</w:t>
      </w:r>
      <w:r w:rsidR="00D0259A">
        <w:t xml:space="preserve"> However, band n79 and n49 can also be studied in future if it is allowed.</w:t>
      </w:r>
    </w:p>
    <w:p w14:paraId="437A9074" w14:textId="6D035951" w:rsidR="008B32DB" w:rsidRPr="008B32DB" w:rsidRDefault="00543C69" w:rsidP="00543C69">
      <w:pPr>
        <w:pStyle w:val="Proposal1"/>
        <w:spacing w:before="180" w:after="156"/>
      </w:pPr>
      <w:r>
        <w:t>RAN4 prioritize the SBFD–SBFD adjacent coexistence study on bands n</w:t>
      </w:r>
      <w:r w:rsidR="00C4470E">
        <w:t>104</w:t>
      </w:r>
      <w:r w:rsidR="00D10010">
        <w:t>, and band n41 and n79 can be further considered if allowed</w:t>
      </w:r>
      <w:r>
        <w:t>.</w:t>
      </w:r>
    </w:p>
    <w:p w14:paraId="7CE4934A" w14:textId="7A2DA6AA" w:rsidR="00FC6F28" w:rsidRPr="008B289D" w:rsidRDefault="00FC6F28" w:rsidP="008B289D">
      <w:pPr>
        <w:pStyle w:val="2"/>
        <w:spacing w:before="36" w:after="60"/>
      </w:pPr>
      <w:r w:rsidRPr="008B289D">
        <w:t>2.</w:t>
      </w:r>
      <w:r w:rsidR="00BA780A">
        <w:t>2</w:t>
      </w:r>
      <w:r w:rsidRPr="008B289D">
        <w:t xml:space="preserve"> Adjacent Channel Co-existence Scenarios</w:t>
      </w:r>
    </w:p>
    <w:p w14:paraId="67F37E9C" w14:textId="77777777" w:rsidR="00FC6F28" w:rsidRDefault="00FC6F28" w:rsidP="0062285D">
      <w:pPr>
        <w:spacing w:after="48"/>
        <w:rPr>
          <w:rFonts w:eastAsiaTheme="minorEastAsia"/>
          <w:lang w:val="en-US" w:eastAsia="ko-KR"/>
        </w:rPr>
      </w:pPr>
      <w:r>
        <w:rPr>
          <w:rFonts w:eastAsiaTheme="minorEastAsia"/>
          <w:lang w:val="en-US" w:eastAsia="ko-KR"/>
        </w:rPr>
        <w:t>Based on the scenarios defined in Table 11.1-1 in TR38.858</w:t>
      </w:r>
      <w:r>
        <w:rPr>
          <w:rFonts w:eastAsiaTheme="minorEastAsia"/>
          <w:vertAlign w:val="superscript"/>
          <w:lang w:val="en-US" w:eastAsia="ko-KR"/>
        </w:rPr>
        <w:t xml:space="preserve"> [1]</w:t>
      </w:r>
      <w:r>
        <w:rPr>
          <w:rFonts w:eastAsiaTheme="minorEastAsia"/>
          <w:lang w:val="en-US" w:eastAsia="ko-KR"/>
        </w:rPr>
        <w:t xml:space="preserve">, Scenario 1 and 6 are related to the wide area coverage co-existence and Scenarios 1-5 are related to the co-existence simulation with FR1. </w:t>
      </w:r>
      <w:r>
        <w:rPr>
          <w:rFonts w:eastAsiaTheme="minorEastAsia" w:hint="eastAsia"/>
          <w:lang w:val="en-US" w:eastAsia="ko-KR"/>
        </w:rPr>
        <w:t>A</w:t>
      </w:r>
      <w:r>
        <w:rPr>
          <w:rFonts w:eastAsiaTheme="minorEastAsia"/>
          <w:lang w:val="en-US" w:eastAsia="ko-KR"/>
        </w:rPr>
        <w:t xml:space="preserve">ccording to the agreement in RAN#109 </w:t>
      </w:r>
      <w:r>
        <w:rPr>
          <w:rFonts w:eastAsiaTheme="minorEastAsia"/>
          <w:vertAlign w:val="superscript"/>
          <w:lang w:val="en-US" w:eastAsia="ko-KR"/>
        </w:rPr>
        <w:t>[3]</w:t>
      </w:r>
      <w:r>
        <w:rPr>
          <w:rFonts w:eastAsiaTheme="minorEastAsia"/>
          <w:lang w:val="en-US" w:eastAsia="ko-KR"/>
        </w:rPr>
        <w:t>, the SBFD-SBFD co-existence study will focus on FR1 WA. Thus, only Scenario 1 should be adopted for the SBFD-SBFD co-existence simulation.</w:t>
      </w:r>
    </w:p>
    <w:p w14:paraId="034D02EA" w14:textId="556639CA" w:rsidR="00FC6F28" w:rsidRPr="00AA2BF9" w:rsidRDefault="00FC6F28" w:rsidP="00FC6F28">
      <w:pPr>
        <w:pStyle w:val="TH"/>
        <w:spacing w:after="48"/>
        <w:rPr>
          <w:rFonts w:eastAsia="等线"/>
          <w:vertAlign w:val="superscript"/>
        </w:rPr>
      </w:pPr>
      <w:r w:rsidRPr="00AA2BF9">
        <w:rPr>
          <w:rFonts w:eastAsia="等线"/>
        </w:rPr>
        <w:t xml:space="preserve">Table </w:t>
      </w:r>
      <w:r w:rsidR="00875309">
        <w:rPr>
          <w:rFonts w:eastAsia="等线"/>
        </w:rPr>
        <w:t>2</w:t>
      </w:r>
      <w:r w:rsidRPr="00AA2BF9">
        <w:rPr>
          <w:rFonts w:eastAsia="等线"/>
          <w:lang w:val="en-US" w:eastAsia="zh-CN"/>
        </w:rPr>
        <w:t>:</w:t>
      </w:r>
      <w:r w:rsidRPr="00AA2BF9">
        <w:rPr>
          <w:rFonts w:eastAsia="等线"/>
        </w:rPr>
        <w:t xml:space="preserve"> </w:t>
      </w:r>
      <w:bookmarkStart w:id="0" w:name="_Hlk210031894"/>
      <w:r w:rsidRPr="00AA2BF9">
        <w:rPr>
          <w:rFonts w:eastAsia="等线"/>
        </w:rPr>
        <w:t>Adjacent channel co-existence scenarios</w:t>
      </w:r>
      <w:bookmarkEnd w:id="0"/>
      <w:r>
        <w:rPr>
          <w:rFonts w:eastAsia="等线"/>
        </w:rPr>
        <w:t xml:space="preserve"> </w:t>
      </w:r>
      <w:r>
        <w:rPr>
          <w:rFonts w:eastAsia="等线"/>
          <w:vertAlign w:val="superscript"/>
        </w:rPr>
        <w:t>[1]</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4"/>
        <w:gridCol w:w="1383"/>
        <w:gridCol w:w="3759"/>
        <w:gridCol w:w="2825"/>
      </w:tblGrid>
      <w:tr w:rsidR="00FC6F28" w:rsidRPr="00AA2BF9" w14:paraId="5F490A19" w14:textId="77777777" w:rsidTr="005942DF">
        <w:trPr>
          <w:tblHeader/>
          <w:jc w:val="center"/>
        </w:trPr>
        <w:tc>
          <w:tcPr>
            <w:tcW w:w="956" w:type="pct"/>
          </w:tcPr>
          <w:p w14:paraId="3C756F20" w14:textId="77777777" w:rsidR="00FC6F28" w:rsidRPr="00AA2BF9" w:rsidRDefault="00FC6F28" w:rsidP="005942DF">
            <w:pPr>
              <w:keepNext/>
              <w:keepLines/>
              <w:spacing w:after="48"/>
              <w:jc w:val="center"/>
              <w:rPr>
                <w:rFonts w:eastAsia="等线"/>
                <w:b/>
                <w:sz w:val="18"/>
              </w:rPr>
            </w:pPr>
            <w:r w:rsidRPr="00AA2BF9">
              <w:rPr>
                <w:rFonts w:eastAsia="等线"/>
                <w:b/>
                <w:sz w:val="18"/>
              </w:rPr>
              <w:t>Scenario</w:t>
            </w:r>
          </w:p>
        </w:tc>
        <w:tc>
          <w:tcPr>
            <w:tcW w:w="702" w:type="pct"/>
          </w:tcPr>
          <w:p w14:paraId="0034E73D" w14:textId="77777777" w:rsidR="00FC6F28" w:rsidRPr="00AA2BF9" w:rsidRDefault="00FC6F28" w:rsidP="005942DF">
            <w:pPr>
              <w:keepNext/>
              <w:keepLines/>
              <w:spacing w:after="48"/>
              <w:jc w:val="center"/>
              <w:rPr>
                <w:rFonts w:eastAsia="等线"/>
                <w:b/>
                <w:sz w:val="18"/>
              </w:rPr>
            </w:pPr>
            <w:r w:rsidRPr="00AA2BF9">
              <w:rPr>
                <w:rFonts w:eastAsia="等线"/>
                <w:b/>
                <w:sz w:val="18"/>
              </w:rPr>
              <w:t>FR</w:t>
            </w:r>
          </w:p>
        </w:tc>
        <w:tc>
          <w:tcPr>
            <w:tcW w:w="1908" w:type="pct"/>
          </w:tcPr>
          <w:p w14:paraId="0897B3A7" w14:textId="77777777" w:rsidR="00FC6F28" w:rsidRPr="00AA2BF9" w:rsidRDefault="00FC6F28" w:rsidP="005942DF">
            <w:pPr>
              <w:keepNext/>
              <w:keepLines/>
              <w:spacing w:after="48"/>
              <w:jc w:val="center"/>
              <w:rPr>
                <w:rFonts w:eastAsia="等线"/>
                <w:b/>
                <w:sz w:val="18"/>
              </w:rPr>
            </w:pPr>
            <w:r w:rsidRPr="00AA2BF9">
              <w:rPr>
                <w:rFonts w:eastAsia="等线"/>
                <w:b/>
                <w:sz w:val="18"/>
              </w:rPr>
              <w:t>Aggressor</w:t>
            </w:r>
          </w:p>
        </w:tc>
        <w:tc>
          <w:tcPr>
            <w:tcW w:w="1432" w:type="pct"/>
            <w:shd w:val="clear" w:color="auto" w:fill="auto"/>
          </w:tcPr>
          <w:p w14:paraId="3ED3D2C1" w14:textId="77777777" w:rsidR="00FC6F28" w:rsidRPr="00AA2BF9" w:rsidRDefault="00FC6F28" w:rsidP="005942DF">
            <w:pPr>
              <w:keepNext/>
              <w:keepLines/>
              <w:spacing w:after="48"/>
              <w:jc w:val="center"/>
              <w:rPr>
                <w:rFonts w:eastAsia="等线"/>
                <w:b/>
                <w:sz w:val="18"/>
              </w:rPr>
            </w:pPr>
            <w:r w:rsidRPr="00AA2BF9">
              <w:rPr>
                <w:rFonts w:eastAsia="等线"/>
                <w:b/>
                <w:sz w:val="18"/>
              </w:rPr>
              <w:t>Victim</w:t>
            </w:r>
          </w:p>
        </w:tc>
      </w:tr>
      <w:tr w:rsidR="00FC6F28" w:rsidRPr="00AA2BF9" w14:paraId="2CDD6E11" w14:textId="77777777" w:rsidTr="005942DF">
        <w:trPr>
          <w:jc w:val="center"/>
        </w:trPr>
        <w:tc>
          <w:tcPr>
            <w:tcW w:w="956" w:type="pct"/>
          </w:tcPr>
          <w:p w14:paraId="10154364"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1</w:t>
            </w:r>
          </w:p>
        </w:tc>
        <w:tc>
          <w:tcPr>
            <w:tcW w:w="702" w:type="pct"/>
          </w:tcPr>
          <w:p w14:paraId="1AC712CC"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FR1</w:t>
            </w:r>
          </w:p>
        </w:tc>
        <w:tc>
          <w:tcPr>
            <w:tcW w:w="1908" w:type="pct"/>
          </w:tcPr>
          <w:p w14:paraId="6228C9D0"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Macro</w:t>
            </w:r>
          </w:p>
        </w:tc>
        <w:tc>
          <w:tcPr>
            <w:tcW w:w="1432" w:type="pct"/>
            <w:shd w:val="clear" w:color="auto" w:fill="auto"/>
          </w:tcPr>
          <w:p w14:paraId="51D3291F"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Macro</w:t>
            </w:r>
          </w:p>
        </w:tc>
      </w:tr>
      <w:tr w:rsidR="00FC6F28" w:rsidRPr="00AA2BF9" w14:paraId="3CA45B81" w14:textId="77777777" w:rsidTr="005942DF">
        <w:trPr>
          <w:jc w:val="center"/>
        </w:trPr>
        <w:tc>
          <w:tcPr>
            <w:tcW w:w="956" w:type="pct"/>
          </w:tcPr>
          <w:p w14:paraId="45D459EB"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2</w:t>
            </w:r>
          </w:p>
        </w:tc>
        <w:tc>
          <w:tcPr>
            <w:tcW w:w="702" w:type="pct"/>
          </w:tcPr>
          <w:p w14:paraId="7E8A5ABE"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FR1</w:t>
            </w:r>
          </w:p>
        </w:tc>
        <w:tc>
          <w:tcPr>
            <w:tcW w:w="1908" w:type="pct"/>
          </w:tcPr>
          <w:p w14:paraId="1CC82B14"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Hotspot</w:t>
            </w:r>
          </w:p>
        </w:tc>
        <w:tc>
          <w:tcPr>
            <w:tcW w:w="1432" w:type="pct"/>
            <w:shd w:val="clear" w:color="auto" w:fill="auto"/>
          </w:tcPr>
          <w:p w14:paraId="46296213"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Hotspot</w:t>
            </w:r>
          </w:p>
        </w:tc>
      </w:tr>
      <w:tr w:rsidR="00FC6F28" w:rsidRPr="00AA2BF9" w14:paraId="47A80579" w14:textId="77777777" w:rsidTr="005942DF">
        <w:trPr>
          <w:jc w:val="center"/>
        </w:trPr>
        <w:tc>
          <w:tcPr>
            <w:tcW w:w="956" w:type="pct"/>
          </w:tcPr>
          <w:p w14:paraId="08572D39"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3</w:t>
            </w:r>
          </w:p>
        </w:tc>
        <w:tc>
          <w:tcPr>
            <w:tcW w:w="702" w:type="pct"/>
          </w:tcPr>
          <w:p w14:paraId="136E9084"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FR1</w:t>
            </w:r>
          </w:p>
        </w:tc>
        <w:tc>
          <w:tcPr>
            <w:tcW w:w="1908" w:type="pct"/>
          </w:tcPr>
          <w:p w14:paraId="13AAE342"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Indoor</w:t>
            </w:r>
          </w:p>
        </w:tc>
        <w:tc>
          <w:tcPr>
            <w:tcW w:w="1432" w:type="pct"/>
            <w:shd w:val="clear" w:color="auto" w:fill="auto"/>
          </w:tcPr>
          <w:p w14:paraId="1DDD2382"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Indoor</w:t>
            </w:r>
          </w:p>
        </w:tc>
      </w:tr>
      <w:tr w:rsidR="00FC6F28" w:rsidRPr="00AA2BF9" w14:paraId="3E329CFA" w14:textId="77777777" w:rsidTr="005942DF">
        <w:trPr>
          <w:jc w:val="center"/>
        </w:trPr>
        <w:tc>
          <w:tcPr>
            <w:tcW w:w="956" w:type="pct"/>
          </w:tcPr>
          <w:p w14:paraId="13E6C53B"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4</w:t>
            </w:r>
          </w:p>
        </w:tc>
        <w:tc>
          <w:tcPr>
            <w:tcW w:w="702" w:type="pct"/>
          </w:tcPr>
          <w:p w14:paraId="17292CD9"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FR1</w:t>
            </w:r>
          </w:p>
        </w:tc>
        <w:tc>
          <w:tcPr>
            <w:tcW w:w="1908" w:type="pct"/>
          </w:tcPr>
          <w:p w14:paraId="21AA2E17"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Macro</w:t>
            </w:r>
          </w:p>
        </w:tc>
        <w:tc>
          <w:tcPr>
            <w:tcW w:w="1432" w:type="pct"/>
            <w:shd w:val="clear" w:color="auto" w:fill="auto"/>
          </w:tcPr>
          <w:p w14:paraId="18B6F71C"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Micro</w:t>
            </w:r>
          </w:p>
        </w:tc>
      </w:tr>
      <w:tr w:rsidR="00FC6F28" w:rsidRPr="00AA2BF9" w14:paraId="1B75C845" w14:textId="77777777" w:rsidTr="005942DF">
        <w:trPr>
          <w:jc w:val="center"/>
        </w:trPr>
        <w:tc>
          <w:tcPr>
            <w:tcW w:w="956" w:type="pct"/>
          </w:tcPr>
          <w:p w14:paraId="36BCF850"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5</w:t>
            </w:r>
          </w:p>
        </w:tc>
        <w:tc>
          <w:tcPr>
            <w:tcW w:w="702" w:type="pct"/>
          </w:tcPr>
          <w:p w14:paraId="0A8EF892"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FR1</w:t>
            </w:r>
          </w:p>
        </w:tc>
        <w:tc>
          <w:tcPr>
            <w:tcW w:w="1908" w:type="pct"/>
          </w:tcPr>
          <w:p w14:paraId="29E2B4E9"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Micro</w:t>
            </w:r>
          </w:p>
        </w:tc>
        <w:tc>
          <w:tcPr>
            <w:tcW w:w="1432" w:type="pct"/>
            <w:shd w:val="clear" w:color="auto" w:fill="auto"/>
          </w:tcPr>
          <w:p w14:paraId="79430723"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Micro</w:t>
            </w:r>
          </w:p>
        </w:tc>
      </w:tr>
      <w:tr w:rsidR="00FC6F28" w:rsidRPr="00AA2BF9" w14:paraId="00418F25" w14:textId="77777777" w:rsidTr="005942DF">
        <w:trPr>
          <w:jc w:val="center"/>
        </w:trPr>
        <w:tc>
          <w:tcPr>
            <w:tcW w:w="956" w:type="pct"/>
          </w:tcPr>
          <w:p w14:paraId="1090D0F7"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6</w:t>
            </w:r>
          </w:p>
        </w:tc>
        <w:tc>
          <w:tcPr>
            <w:tcW w:w="702" w:type="pct"/>
          </w:tcPr>
          <w:p w14:paraId="1EAD5BAA"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FR2-1</w:t>
            </w:r>
          </w:p>
        </w:tc>
        <w:tc>
          <w:tcPr>
            <w:tcW w:w="1908" w:type="pct"/>
          </w:tcPr>
          <w:p w14:paraId="7BA24A9E"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Macro</w:t>
            </w:r>
          </w:p>
        </w:tc>
        <w:tc>
          <w:tcPr>
            <w:tcW w:w="1432" w:type="pct"/>
            <w:shd w:val="clear" w:color="auto" w:fill="auto"/>
          </w:tcPr>
          <w:p w14:paraId="1C1582A4"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Macro</w:t>
            </w:r>
          </w:p>
        </w:tc>
      </w:tr>
      <w:tr w:rsidR="00FC6F28" w:rsidRPr="00AA2BF9" w14:paraId="487C8E38" w14:textId="77777777" w:rsidTr="005942DF">
        <w:trPr>
          <w:jc w:val="center"/>
        </w:trPr>
        <w:tc>
          <w:tcPr>
            <w:tcW w:w="956" w:type="pct"/>
          </w:tcPr>
          <w:p w14:paraId="6E1D2F71"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7</w:t>
            </w:r>
            <w:r w:rsidRPr="00AA2BF9">
              <w:rPr>
                <w:rFonts w:eastAsia="等线"/>
                <w:sz w:val="18"/>
                <w:vertAlign w:val="superscript"/>
                <w:lang w:eastAsia="zh-CN"/>
              </w:rPr>
              <w:t>1</w:t>
            </w:r>
          </w:p>
        </w:tc>
        <w:tc>
          <w:tcPr>
            <w:tcW w:w="702" w:type="pct"/>
          </w:tcPr>
          <w:p w14:paraId="70B1FA4F"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FR2-1</w:t>
            </w:r>
          </w:p>
        </w:tc>
        <w:tc>
          <w:tcPr>
            <w:tcW w:w="1908" w:type="pct"/>
          </w:tcPr>
          <w:p w14:paraId="76DCA574"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Hotspot</w:t>
            </w:r>
          </w:p>
        </w:tc>
        <w:tc>
          <w:tcPr>
            <w:tcW w:w="1432" w:type="pct"/>
            <w:shd w:val="clear" w:color="auto" w:fill="auto"/>
          </w:tcPr>
          <w:p w14:paraId="09C43D9E"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Hotspot</w:t>
            </w:r>
          </w:p>
        </w:tc>
      </w:tr>
      <w:tr w:rsidR="00FC6F28" w:rsidRPr="00AA2BF9" w14:paraId="599C8BCA" w14:textId="77777777" w:rsidTr="005942DF">
        <w:trPr>
          <w:jc w:val="center"/>
        </w:trPr>
        <w:tc>
          <w:tcPr>
            <w:tcW w:w="956" w:type="pct"/>
          </w:tcPr>
          <w:p w14:paraId="6D68E08B"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8</w:t>
            </w:r>
          </w:p>
        </w:tc>
        <w:tc>
          <w:tcPr>
            <w:tcW w:w="702" w:type="pct"/>
          </w:tcPr>
          <w:p w14:paraId="6B7B2B68"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FR2-1</w:t>
            </w:r>
          </w:p>
        </w:tc>
        <w:tc>
          <w:tcPr>
            <w:tcW w:w="1908" w:type="pct"/>
          </w:tcPr>
          <w:p w14:paraId="6F3D18CF"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Dense</w:t>
            </w:r>
          </w:p>
        </w:tc>
        <w:tc>
          <w:tcPr>
            <w:tcW w:w="1432" w:type="pct"/>
            <w:shd w:val="clear" w:color="auto" w:fill="auto"/>
          </w:tcPr>
          <w:p w14:paraId="15EDA9EC"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Urban Dense</w:t>
            </w:r>
          </w:p>
        </w:tc>
      </w:tr>
      <w:tr w:rsidR="00FC6F28" w:rsidRPr="00AA2BF9" w14:paraId="3BC45221" w14:textId="77777777" w:rsidTr="005942DF">
        <w:trPr>
          <w:jc w:val="center"/>
        </w:trPr>
        <w:tc>
          <w:tcPr>
            <w:tcW w:w="956" w:type="pct"/>
          </w:tcPr>
          <w:p w14:paraId="65ABA20B"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9</w:t>
            </w:r>
          </w:p>
        </w:tc>
        <w:tc>
          <w:tcPr>
            <w:tcW w:w="702" w:type="pct"/>
          </w:tcPr>
          <w:p w14:paraId="04745BCA"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FR2-1</w:t>
            </w:r>
          </w:p>
        </w:tc>
        <w:tc>
          <w:tcPr>
            <w:tcW w:w="1908" w:type="pct"/>
          </w:tcPr>
          <w:p w14:paraId="7EF1F50C"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Indoor</w:t>
            </w:r>
          </w:p>
        </w:tc>
        <w:tc>
          <w:tcPr>
            <w:tcW w:w="1432" w:type="pct"/>
            <w:shd w:val="clear" w:color="auto" w:fill="auto"/>
          </w:tcPr>
          <w:p w14:paraId="2352D50E" w14:textId="77777777" w:rsidR="00FC6F28" w:rsidRPr="00AA2BF9" w:rsidRDefault="00FC6F28" w:rsidP="005942DF">
            <w:pPr>
              <w:keepNext/>
              <w:keepLines/>
              <w:spacing w:after="48"/>
              <w:jc w:val="center"/>
              <w:rPr>
                <w:rFonts w:eastAsia="等线"/>
                <w:sz w:val="18"/>
                <w:lang w:eastAsia="zh-CN"/>
              </w:rPr>
            </w:pPr>
            <w:r w:rsidRPr="00AA2BF9">
              <w:rPr>
                <w:rFonts w:eastAsia="等线"/>
                <w:sz w:val="18"/>
                <w:lang w:eastAsia="zh-CN"/>
              </w:rPr>
              <w:t>Indoor</w:t>
            </w:r>
          </w:p>
        </w:tc>
      </w:tr>
      <w:tr w:rsidR="00FC6F28" w:rsidRPr="00AA2BF9" w14:paraId="1D297D95" w14:textId="77777777" w:rsidTr="005942DF">
        <w:trPr>
          <w:jc w:val="center"/>
        </w:trPr>
        <w:tc>
          <w:tcPr>
            <w:tcW w:w="5000" w:type="pct"/>
            <w:gridSpan w:val="4"/>
            <w:vAlign w:val="center"/>
          </w:tcPr>
          <w:p w14:paraId="758F7FDF" w14:textId="77777777" w:rsidR="00FC6F28" w:rsidRPr="00AA2BF9" w:rsidRDefault="00FC6F28" w:rsidP="005942DF">
            <w:pPr>
              <w:pStyle w:val="TAN"/>
              <w:spacing w:after="12"/>
              <w:rPr>
                <w:rFonts w:ascii="Times New Roman" w:eastAsia="等线" w:hAnsi="Times New Roman"/>
                <w:lang w:eastAsia="zh-CN"/>
              </w:rPr>
            </w:pPr>
            <w:r w:rsidRPr="00AA2BF9">
              <w:rPr>
                <w:rFonts w:ascii="Times New Roman" w:eastAsia="等线" w:hAnsi="Times New Roman"/>
                <w:lang w:eastAsia="zh-CN"/>
              </w:rPr>
              <w:t>Note 1:</w:t>
            </w:r>
            <w:r w:rsidRPr="00AA2BF9">
              <w:rPr>
                <w:rFonts w:ascii="Times New Roman" w:eastAsia="等线" w:hAnsi="Times New Roman"/>
                <w:lang w:eastAsia="zh-CN"/>
              </w:rPr>
              <w:tab/>
              <w:t>This scenario has been down-selected.</w:t>
            </w:r>
          </w:p>
        </w:tc>
      </w:tr>
    </w:tbl>
    <w:p w14:paraId="766FDD33" w14:textId="77777777" w:rsidR="00FC6F28" w:rsidRDefault="00FC6F28" w:rsidP="00FC6F28">
      <w:pPr>
        <w:pStyle w:val="Proposal1"/>
        <w:spacing w:before="180" w:after="156"/>
        <w:rPr>
          <w:rFonts w:eastAsiaTheme="minorEastAsia"/>
          <w:lang w:eastAsia="ko-KR"/>
        </w:rPr>
      </w:pPr>
      <w:r>
        <w:rPr>
          <w:rFonts w:eastAsiaTheme="minorEastAsia"/>
          <w:lang w:eastAsia="ko-KR"/>
        </w:rPr>
        <w:t>O</w:t>
      </w:r>
      <w:r w:rsidRPr="005D6D22">
        <w:rPr>
          <w:rFonts w:eastAsiaTheme="minorEastAsia"/>
          <w:lang w:eastAsia="ko-KR"/>
        </w:rPr>
        <w:t>nly Scenario 1 should be adopted for the</w:t>
      </w:r>
      <w:r>
        <w:rPr>
          <w:rFonts w:eastAsiaTheme="minorEastAsia"/>
          <w:lang w:eastAsia="ko-KR"/>
        </w:rPr>
        <w:t xml:space="preserve"> current</w:t>
      </w:r>
      <w:r w:rsidRPr="005D6D22">
        <w:rPr>
          <w:rFonts w:eastAsiaTheme="minorEastAsia"/>
          <w:lang w:eastAsia="ko-KR"/>
        </w:rPr>
        <w:t xml:space="preserve"> SBFD-SBFD co-existence simulation.</w:t>
      </w:r>
    </w:p>
    <w:p w14:paraId="3C85D78D" w14:textId="77777777" w:rsidR="00FC6F28" w:rsidRPr="0038150B" w:rsidRDefault="00FC6F28" w:rsidP="00FC6F28">
      <w:pPr>
        <w:spacing w:after="48"/>
        <w:rPr>
          <w:rFonts w:eastAsiaTheme="minorEastAsia"/>
          <w:lang w:val="en-US" w:eastAsia="ko-KR"/>
        </w:rPr>
      </w:pPr>
    </w:p>
    <w:p w14:paraId="75AB16F5" w14:textId="5223A17E" w:rsidR="00FC6F28" w:rsidRDefault="00FC6F28" w:rsidP="00F00D41">
      <w:pPr>
        <w:pStyle w:val="2"/>
        <w:spacing w:before="36" w:after="60"/>
      </w:pPr>
      <w:r>
        <w:lastRenderedPageBreak/>
        <w:t>2.</w:t>
      </w:r>
      <w:r w:rsidR="00BA780A">
        <w:t xml:space="preserve">3 </w:t>
      </w:r>
      <w:r w:rsidRPr="00176EEF">
        <w:t xml:space="preserve">Adjacent </w:t>
      </w:r>
      <w:r>
        <w:t>C</w:t>
      </w:r>
      <w:r w:rsidRPr="00176EEF">
        <w:t xml:space="preserve">hannel </w:t>
      </w:r>
      <w:r>
        <w:t>C</w:t>
      </w:r>
      <w:r w:rsidRPr="00176EEF">
        <w:t xml:space="preserve">o-existence </w:t>
      </w:r>
      <w:r w:rsidR="00F6776B">
        <w:t>Slot Allocation</w:t>
      </w:r>
    </w:p>
    <w:p w14:paraId="3F9CB3EF" w14:textId="24E0C083" w:rsidR="00FC6F28" w:rsidRDefault="00F00D41" w:rsidP="00F00D41">
      <w:pPr>
        <w:spacing w:after="48"/>
        <w:rPr>
          <w:rFonts w:eastAsiaTheme="minorEastAsia"/>
          <w:lang w:val="en-US" w:eastAsia="ko-KR"/>
        </w:rPr>
      </w:pPr>
      <w:r>
        <w:rPr>
          <w:rFonts w:eastAsiaTheme="minorEastAsia"/>
          <w:lang w:val="en-US" w:eastAsia="ko-KR"/>
        </w:rPr>
        <w:t>In RAN4#116Bis meeting, several SBFD-SBFD adjacent channel coexistence cases have been discussed, and it is agreed that the coexistence case optional need to be down-select.</w:t>
      </w:r>
    </w:p>
    <w:tbl>
      <w:tblPr>
        <w:tblStyle w:val="a5"/>
        <w:tblW w:w="0" w:type="auto"/>
        <w:tblLook w:val="04A0" w:firstRow="1" w:lastRow="0" w:firstColumn="1" w:lastColumn="0" w:noHBand="0" w:noVBand="1"/>
      </w:tblPr>
      <w:tblGrid>
        <w:gridCol w:w="9855"/>
      </w:tblGrid>
      <w:tr w:rsidR="00F00D41" w14:paraId="4938BA81" w14:textId="77777777" w:rsidTr="00F00D41">
        <w:tc>
          <w:tcPr>
            <w:tcW w:w="9855" w:type="dxa"/>
          </w:tcPr>
          <w:p w14:paraId="6E6021D7" w14:textId="77777777" w:rsidR="00F00D41" w:rsidRDefault="00F00D41" w:rsidP="00F00D41">
            <w:pPr>
              <w:pStyle w:val="a6"/>
              <w:spacing w:after="48"/>
              <w:rPr>
                <w:u w:val="single"/>
              </w:rPr>
            </w:pPr>
            <w:r w:rsidRPr="00F00D41">
              <w:rPr>
                <w:highlight w:val="green"/>
                <w:u w:val="single"/>
              </w:rPr>
              <w:t>Agreements:</w:t>
            </w:r>
            <w:r>
              <w:rPr>
                <w:u w:val="single"/>
              </w:rPr>
              <w:t xml:space="preserve">  </w:t>
            </w:r>
          </w:p>
          <w:p w14:paraId="78FF2DE3" w14:textId="77777777" w:rsidR="00F00D41" w:rsidRDefault="00F00D41" w:rsidP="00F00D41">
            <w:pPr>
              <w:pStyle w:val="a7"/>
              <w:numPr>
                <w:ilvl w:val="0"/>
                <w:numId w:val="48"/>
              </w:numPr>
              <w:spacing w:afterLines="0" w:after="12" w:line="240" w:lineRule="auto"/>
              <w:ind w:leftChars="0"/>
              <w:contextualSpacing/>
            </w:pPr>
            <w:r>
              <w:t>For next meeting further consider following options, with the intention to</w:t>
            </w:r>
            <w:r w:rsidRPr="00E006DC">
              <w:t xml:space="preserve"> down-select:</w:t>
            </w:r>
          </w:p>
          <w:p w14:paraId="7090562C" w14:textId="77777777" w:rsidR="00F00D41" w:rsidRDefault="00F00D41" w:rsidP="00EB18FD">
            <w:pPr>
              <w:pStyle w:val="a7"/>
              <w:spacing w:after="48"/>
              <w:ind w:firstLine="132"/>
            </w:pPr>
            <w:r>
              <w:t>Option 1: UD (Operator 1) and DU (Operator 2)</w:t>
            </w:r>
          </w:p>
          <w:p w14:paraId="6C46C7CC" w14:textId="77777777" w:rsidR="00F00D41" w:rsidRDefault="00F00D41" w:rsidP="00F00D41">
            <w:pPr>
              <w:pStyle w:val="a7"/>
              <w:spacing w:after="48"/>
              <w:ind w:firstLine="132"/>
            </w:pPr>
            <w:r>
              <w:t>Option 2: DUD (Operator 1 and 2)</w:t>
            </w:r>
          </w:p>
          <w:p w14:paraId="726BDA03" w14:textId="77777777" w:rsidR="00F00D41" w:rsidRDefault="00F00D41" w:rsidP="00F00D41">
            <w:pPr>
              <w:pStyle w:val="a7"/>
              <w:spacing w:after="48"/>
              <w:ind w:firstLine="132"/>
            </w:pPr>
            <w:r>
              <w:t>Option 3: UD and DUD</w:t>
            </w:r>
          </w:p>
          <w:p w14:paraId="24721FBF" w14:textId="7ADA52E2" w:rsidR="00F00D41" w:rsidRPr="00F00D41" w:rsidRDefault="00F00D41" w:rsidP="00F00D41">
            <w:pPr>
              <w:pStyle w:val="a7"/>
              <w:spacing w:after="48"/>
              <w:ind w:firstLine="132"/>
              <w:rPr>
                <w:rFonts w:eastAsiaTheme="minorEastAsia"/>
                <w:lang w:eastAsia="ko-KR"/>
              </w:rPr>
            </w:pPr>
            <w:r>
              <w:t>Provide more description on each specific case.</w:t>
            </w:r>
          </w:p>
        </w:tc>
      </w:tr>
    </w:tbl>
    <w:p w14:paraId="5D4630A3" w14:textId="50D47022" w:rsidR="00F00D41" w:rsidRDefault="00F00D41" w:rsidP="00F00D41">
      <w:pPr>
        <w:spacing w:after="48"/>
        <w:rPr>
          <w:rFonts w:eastAsiaTheme="minorEastAsia"/>
          <w:lang w:val="en-US" w:eastAsia="ko-KR"/>
        </w:rPr>
      </w:pPr>
    </w:p>
    <w:p w14:paraId="00DCD473" w14:textId="3760BC81" w:rsidR="00B46739" w:rsidRDefault="005430FC" w:rsidP="005430FC">
      <w:pPr>
        <w:spacing w:after="48"/>
        <w:rPr>
          <w:rFonts w:eastAsiaTheme="minorEastAsia"/>
          <w:lang w:val="en-US" w:eastAsia="ko-KR"/>
        </w:rPr>
      </w:pPr>
      <w:r>
        <w:rPr>
          <w:rFonts w:eastAsiaTheme="minorEastAsia"/>
          <w:lang w:val="en-US" w:eastAsia="ko-KR"/>
        </w:rPr>
        <w:t xml:space="preserve">Generally, for the SBFD–SBFD adjacent channel coexistence problem, the basic principle is to maximize guard band size </w:t>
      </w:r>
      <w:r w:rsidR="00B46739">
        <w:rPr>
          <w:rFonts w:eastAsiaTheme="minorEastAsia"/>
          <w:lang w:val="en-US" w:eastAsia="ko-KR"/>
        </w:rPr>
        <w:t>in</w:t>
      </w:r>
      <w:r>
        <w:rPr>
          <w:rFonts w:eastAsiaTheme="minorEastAsia"/>
          <w:lang w:val="en-US" w:eastAsia="ko-KR"/>
        </w:rPr>
        <w:t xml:space="preserve"> exchange for the better suppression of bandpass filter (BPF)</w:t>
      </w:r>
      <w:r w:rsidR="0071483B">
        <w:rPr>
          <w:rFonts w:eastAsiaTheme="minorEastAsia"/>
          <w:lang w:val="en-US" w:eastAsia="ko-KR"/>
        </w:rPr>
        <w:t xml:space="preserve"> so that the effect of adjacent channel interference is minimized with best effort</w:t>
      </w:r>
      <w:r>
        <w:rPr>
          <w:rFonts w:eastAsiaTheme="minorEastAsia"/>
          <w:lang w:val="en-US" w:eastAsia="ko-KR"/>
        </w:rPr>
        <w:t xml:space="preserve">. </w:t>
      </w:r>
    </w:p>
    <w:p w14:paraId="46F26653" w14:textId="152C6919" w:rsidR="00B46739" w:rsidRDefault="00B46739" w:rsidP="00B46739">
      <w:pPr>
        <w:pStyle w:val="Observation1"/>
        <w:spacing w:before="180" w:after="156"/>
        <w:rPr>
          <w:rFonts w:eastAsiaTheme="minorEastAsia"/>
        </w:rPr>
      </w:pPr>
      <w:bookmarkStart w:id="1" w:name="_Hlk213431567"/>
      <w:r>
        <w:rPr>
          <w:rFonts w:eastAsiaTheme="minorEastAsia"/>
        </w:rPr>
        <w:t>For the SBFD–SBFD coexistence problem, the size of</w:t>
      </w:r>
      <w:r w:rsidRPr="00B46739">
        <w:rPr>
          <w:rFonts w:eastAsiaTheme="minorEastAsia"/>
        </w:rPr>
        <w:t xml:space="preserve"> guard band </w:t>
      </w:r>
      <w:r>
        <w:rPr>
          <w:rFonts w:eastAsiaTheme="minorEastAsia"/>
        </w:rPr>
        <w:t>should be maximized in</w:t>
      </w:r>
      <w:r w:rsidRPr="00B46739">
        <w:rPr>
          <w:rFonts w:eastAsiaTheme="minorEastAsia"/>
        </w:rPr>
        <w:t xml:space="preserve"> exchange for the better suppression of bandpass filter (BPF)</w:t>
      </w:r>
      <w:r>
        <w:rPr>
          <w:rFonts w:eastAsiaTheme="minorEastAsia"/>
        </w:rPr>
        <w:t>.</w:t>
      </w:r>
    </w:p>
    <w:bookmarkEnd w:id="1"/>
    <w:p w14:paraId="5E42D1E2" w14:textId="6F55252D" w:rsidR="00EE2B5D" w:rsidRDefault="0071483B" w:rsidP="005430FC">
      <w:pPr>
        <w:spacing w:after="48"/>
        <w:rPr>
          <w:rFonts w:eastAsiaTheme="minorEastAsia"/>
          <w:lang w:val="en-US" w:eastAsia="ko-KR"/>
        </w:rPr>
      </w:pPr>
      <w:r>
        <w:rPr>
          <w:rFonts w:eastAsiaTheme="minorEastAsia"/>
          <w:lang w:val="en-US" w:eastAsia="ko-KR"/>
        </w:rPr>
        <w:t>Based</w:t>
      </w:r>
      <w:r w:rsidR="00996E1E">
        <w:rPr>
          <w:rFonts w:eastAsiaTheme="minorEastAsia"/>
          <w:lang w:val="en-US" w:eastAsia="ko-KR"/>
        </w:rPr>
        <w:t xml:space="preserve"> on this principle, for the two operator coexistence cases, the best deployment strategy is to adopt UD–DU option, in which the downlink bands are adjacent for the two operator and the guard band is maximized. </w:t>
      </w:r>
      <w:r w:rsidR="00EE2B5D">
        <w:rPr>
          <w:rFonts w:eastAsiaTheme="minorEastAsia"/>
          <w:lang w:val="en-US" w:eastAsia="ko-KR"/>
        </w:rPr>
        <w:t xml:space="preserve">DUD–DUD should be </w:t>
      </w:r>
      <w:r w:rsidR="00DE1DA8">
        <w:rPr>
          <w:rFonts w:eastAsiaTheme="minorEastAsia"/>
          <w:lang w:val="en-US" w:eastAsia="ko-KR"/>
        </w:rPr>
        <w:t>deprioritized</w:t>
      </w:r>
      <w:r w:rsidR="00EE2B5D">
        <w:rPr>
          <w:rFonts w:eastAsiaTheme="minorEastAsia"/>
          <w:lang w:val="en-US" w:eastAsia="ko-KR"/>
        </w:rPr>
        <w:t xml:space="preserve"> for the two-operator coexistence case, since the guard band size is not optimal. </w:t>
      </w:r>
    </w:p>
    <w:p w14:paraId="7154C7C4" w14:textId="6DF11B09" w:rsidR="002C33C2" w:rsidRDefault="002C33C2" w:rsidP="005430FC">
      <w:pPr>
        <w:spacing w:after="48"/>
        <w:rPr>
          <w:rFonts w:eastAsiaTheme="minorEastAsia"/>
          <w:lang w:val="en-US" w:eastAsia="ko-KR"/>
        </w:rPr>
      </w:pPr>
      <w:r>
        <w:rPr>
          <w:rFonts w:eastAsiaTheme="minorEastAsia"/>
          <w:lang w:val="en-US" w:eastAsia="ko-KR"/>
        </w:rPr>
        <w:t xml:space="preserve">For the three operation coexistence cases, the operator who possess the middle frequency band should </w:t>
      </w:r>
      <w:r w:rsidR="007405EC">
        <w:rPr>
          <w:rFonts w:eastAsiaTheme="minorEastAsia"/>
          <w:lang w:val="en-US" w:eastAsia="ko-KR"/>
        </w:rPr>
        <w:t xml:space="preserve">adopt DUD </w:t>
      </w:r>
      <w:r w:rsidR="00F31E25">
        <w:rPr>
          <w:rFonts w:eastAsiaTheme="minorEastAsia"/>
          <w:lang w:val="en-US" w:eastAsia="ko-KR"/>
        </w:rPr>
        <w:t xml:space="preserve">slot allocation </w:t>
      </w:r>
      <w:r w:rsidR="007405EC">
        <w:rPr>
          <w:rFonts w:eastAsiaTheme="minorEastAsia"/>
          <w:lang w:val="en-US" w:eastAsia="ko-KR"/>
        </w:rPr>
        <w:t xml:space="preserve">and </w:t>
      </w:r>
      <w:r>
        <w:rPr>
          <w:rFonts w:eastAsiaTheme="minorEastAsia"/>
          <w:lang w:val="en-US" w:eastAsia="ko-KR"/>
        </w:rPr>
        <w:t>put the downlink band at both side</w:t>
      </w:r>
      <w:r w:rsidR="007405EC">
        <w:rPr>
          <w:rFonts w:eastAsiaTheme="minorEastAsia"/>
          <w:lang w:val="en-US" w:eastAsia="ko-KR"/>
        </w:rPr>
        <w:t>s</w:t>
      </w:r>
      <w:r>
        <w:rPr>
          <w:rFonts w:eastAsiaTheme="minorEastAsia"/>
          <w:lang w:val="en-US" w:eastAsia="ko-KR"/>
        </w:rPr>
        <w:t xml:space="preserve"> </w:t>
      </w:r>
      <w:r w:rsidR="007405EC">
        <w:rPr>
          <w:rFonts w:eastAsiaTheme="minorEastAsia"/>
          <w:lang w:val="en-US" w:eastAsia="ko-KR"/>
        </w:rPr>
        <w:t xml:space="preserve">to maximize guard band </w:t>
      </w:r>
      <w:r w:rsidR="00965209">
        <w:rPr>
          <w:rFonts w:eastAsiaTheme="minorEastAsia"/>
          <w:lang w:val="en-US" w:eastAsia="ko-KR"/>
        </w:rPr>
        <w:t xml:space="preserve">size </w:t>
      </w:r>
      <w:r w:rsidR="007405EC">
        <w:rPr>
          <w:rFonts w:eastAsiaTheme="minorEastAsia"/>
          <w:lang w:val="en-US" w:eastAsia="ko-KR"/>
        </w:rPr>
        <w:t>of BPF.</w:t>
      </w:r>
      <w:r w:rsidR="00965209">
        <w:rPr>
          <w:rFonts w:eastAsiaTheme="minorEastAsia"/>
          <w:lang w:val="en-US" w:eastAsia="ko-KR"/>
        </w:rPr>
        <w:t xml:space="preserve"> For the three or more operator coexistence cases, the deployment strategies for the operator are similar to the two-operator case and the operators in the middle should adopt DUD </w:t>
      </w:r>
      <w:r w:rsidR="00F31E25">
        <w:rPr>
          <w:rFonts w:eastAsiaTheme="minorEastAsia"/>
          <w:lang w:val="en-US" w:eastAsia="ko-KR"/>
        </w:rPr>
        <w:t>slot allocation</w:t>
      </w:r>
      <w:r w:rsidR="00965209">
        <w:rPr>
          <w:rFonts w:eastAsiaTheme="minorEastAsia"/>
          <w:lang w:val="en-US" w:eastAsia="ko-KR"/>
        </w:rPr>
        <w:t xml:space="preserve"> to maximize guard band size</w:t>
      </w:r>
      <w:r w:rsidR="00A60716">
        <w:rPr>
          <w:rFonts w:eastAsiaTheme="minorEastAsia"/>
          <w:lang w:val="en-US" w:eastAsia="ko-KR"/>
        </w:rPr>
        <w:t xml:space="preserve"> as shown in Fig. 1</w:t>
      </w:r>
      <w:r w:rsidR="00965209">
        <w:rPr>
          <w:rFonts w:eastAsiaTheme="minorEastAsia"/>
          <w:lang w:val="en-US" w:eastAsia="ko-KR"/>
        </w:rPr>
        <w:t xml:space="preserve">. However, in this circumstance, there would be both UD–DUD </w:t>
      </w:r>
      <w:r w:rsidR="00F31E25">
        <w:rPr>
          <w:rFonts w:eastAsiaTheme="minorEastAsia"/>
          <w:lang w:val="en-US" w:eastAsia="ko-KR"/>
        </w:rPr>
        <w:t xml:space="preserve">slot allocation </w:t>
      </w:r>
      <w:r w:rsidR="00965209">
        <w:rPr>
          <w:rFonts w:eastAsiaTheme="minorEastAsia"/>
          <w:lang w:val="en-US" w:eastAsia="ko-KR"/>
        </w:rPr>
        <w:t xml:space="preserve">and DUD–DUD </w:t>
      </w:r>
      <w:r w:rsidR="00F31E25">
        <w:rPr>
          <w:rFonts w:eastAsiaTheme="minorEastAsia"/>
          <w:lang w:val="en-US" w:eastAsia="ko-KR"/>
        </w:rPr>
        <w:t>slot allocation</w:t>
      </w:r>
      <w:r w:rsidR="003265A8">
        <w:rPr>
          <w:rFonts w:eastAsiaTheme="minorEastAsia"/>
          <w:lang w:val="en-US" w:eastAsia="ko-KR"/>
        </w:rPr>
        <w:t>,</w:t>
      </w:r>
      <w:r w:rsidR="00965209">
        <w:rPr>
          <w:rFonts w:eastAsiaTheme="minorEastAsia"/>
          <w:lang w:val="en-US" w:eastAsia="ko-KR"/>
        </w:rPr>
        <w:t xml:space="preserve"> and the DUD–DUD </w:t>
      </w:r>
      <w:r w:rsidR="00F31E25">
        <w:rPr>
          <w:rFonts w:eastAsiaTheme="minorEastAsia"/>
          <w:lang w:val="en-US" w:eastAsia="ko-KR"/>
        </w:rPr>
        <w:t>slot allocation</w:t>
      </w:r>
      <w:r w:rsidR="00965209">
        <w:rPr>
          <w:rFonts w:eastAsiaTheme="minorEastAsia"/>
          <w:lang w:val="en-US" w:eastAsia="ko-KR"/>
        </w:rPr>
        <w:t xml:space="preserve"> </w:t>
      </w:r>
      <w:r w:rsidR="002518DE">
        <w:rPr>
          <w:rFonts w:eastAsiaTheme="minorEastAsia"/>
          <w:lang w:val="en-US" w:eastAsia="ko-KR"/>
        </w:rPr>
        <w:t>option</w:t>
      </w:r>
      <w:r w:rsidR="00965209">
        <w:rPr>
          <w:rFonts w:eastAsiaTheme="minorEastAsia"/>
          <w:lang w:val="en-US" w:eastAsia="ko-KR"/>
        </w:rPr>
        <w:t xml:space="preserve"> </w:t>
      </w:r>
      <w:r w:rsidR="0042572B">
        <w:rPr>
          <w:rFonts w:eastAsiaTheme="minorEastAsia"/>
          <w:lang w:val="en-US" w:eastAsia="ko-KR"/>
        </w:rPr>
        <w:t>has</w:t>
      </w:r>
      <w:r w:rsidR="00965209">
        <w:rPr>
          <w:rFonts w:eastAsiaTheme="minorEastAsia"/>
          <w:lang w:val="en-US" w:eastAsia="ko-KR"/>
        </w:rPr>
        <w:t xml:space="preserve"> smaller guard band size, which would lead to more stringent coexistence requirement</w:t>
      </w:r>
      <w:r w:rsidR="006574B1">
        <w:rPr>
          <w:rFonts w:eastAsiaTheme="minorEastAsia"/>
          <w:lang w:val="en-US" w:eastAsia="ko-KR"/>
        </w:rPr>
        <w:t>.</w:t>
      </w:r>
    </w:p>
    <w:p w14:paraId="64665982" w14:textId="77777777" w:rsidR="00B46739" w:rsidRDefault="00B46739" w:rsidP="005430FC">
      <w:pPr>
        <w:spacing w:after="48"/>
        <w:rPr>
          <w:rFonts w:eastAsiaTheme="minorEastAsia"/>
          <w:lang w:val="en-US" w:eastAsia="ko-KR"/>
        </w:rPr>
      </w:pPr>
    </w:p>
    <w:p w14:paraId="4DE2974A" w14:textId="713DFCCF" w:rsidR="002C33C2" w:rsidRDefault="0052168F" w:rsidP="002C33C2">
      <w:pPr>
        <w:pStyle w:val="FigureCaption"/>
        <w:spacing w:after="48"/>
        <w:rPr>
          <w:rFonts w:eastAsiaTheme="minorEastAsia"/>
          <w:lang w:eastAsia="ko-KR"/>
        </w:rPr>
      </w:pPr>
      <w:r>
        <w:rPr>
          <w:rFonts w:eastAsiaTheme="minorEastAsia"/>
          <w:lang w:eastAsia="ko-KR"/>
        </w:rPr>
        <w:object w:dxaOrig="16321" w:dyaOrig="6076" w14:anchorId="5B1B3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78.65pt" o:ole="">
            <v:imagedata r:id="rId8" o:title=""/>
          </v:shape>
          <o:OLEObject Type="Embed" ProgID="Visio.Drawing.15" ShapeID="_x0000_i1025" DrawAspect="Content" ObjectID="_1824046421" r:id="rId9"/>
        </w:object>
      </w:r>
    </w:p>
    <w:p w14:paraId="07512742" w14:textId="72565696" w:rsidR="002C33C2" w:rsidRPr="002C33C2" w:rsidRDefault="002C33C2" w:rsidP="002C33C2">
      <w:pPr>
        <w:pStyle w:val="FigureCaption"/>
        <w:spacing w:after="48"/>
        <w:rPr>
          <w:rFonts w:eastAsiaTheme="minorEastAsia"/>
          <w:lang w:eastAsia="ko-KR"/>
        </w:rPr>
      </w:pPr>
      <w:r>
        <w:rPr>
          <w:rFonts w:eastAsiaTheme="minorEastAsia" w:hint="eastAsia"/>
          <w:lang w:eastAsia="ko-KR"/>
        </w:rPr>
        <w:t>F</w:t>
      </w:r>
      <w:r>
        <w:rPr>
          <w:rFonts w:eastAsiaTheme="minorEastAsia"/>
          <w:lang w:eastAsia="ko-KR"/>
        </w:rPr>
        <w:t>ig.1 Illustration of coexistence case options.</w:t>
      </w:r>
    </w:p>
    <w:p w14:paraId="1CA449F0" w14:textId="77777777" w:rsidR="002C33C2" w:rsidRDefault="002C33C2" w:rsidP="005430FC">
      <w:pPr>
        <w:spacing w:after="48"/>
        <w:rPr>
          <w:rFonts w:eastAsiaTheme="minorEastAsia"/>
          <w:lang w:val="en-US" w:eastAsia="ko-KR"/>
        </w:rPr>
      </w:pPr>
    </w:p>
    <w:p w14:paraId="650C87AC" w14:textId="2FC45C8C" w:rsidR="003D54A7" w:rsidRDefault="003D54A7" w:rsidP="003D54A7">
      <w:pPr>
        <w:pStyle w:val="Observation1"/>
        <w:spacing w:before="180" w:after="156"/>
        <w:rPr>
          <w:rFonts w:eastAsiaTheme="minorEastAsia"/>
        </w:rPr>
      </w:pPr>
      <w:r w:rsidRPr="003D54A7">
        <w:rPr>
          <w:rFonts w:eastAsiaTheme="minorEastAsia"/>
        </w:rPr>
        <w:t xml:space="preserve">DUD–DUD </w:t>
      </w:r>
      <w:r w:rsidR="003265A8">
        <w:rPr>
          <w:rFonts w:eastAsiaTheme="minorEastAsia"/>
        </w:rPr>
        <w:t>slot allocation</w:t>
      </w:r>
      <w:r w:rsidR="00B52325">
        <w:rPr>
          <w:rFonts w:eastAsiaTheme="minorEastAsia"/>
        </w:rPr>
        <w:t xml:space="preserve"> </w:t>
      </w:r>
      <w:r w:rsidRPr="003D54A7">
        <w:rPr>
          <w:rFonts w:eastAsiaTheme="minorEastAsia"/>
        </w:rPr>
        <w:t>has smalle</w:t>
      </w:r>
      <w:r>
        <w:rPr>
          <w:rFonts w:eastAsiaTheme="minorEastAsia"/>
        </w:rPr>
        <w:t>st</w:t>
      </w:r>
      <w:r w:rsidRPr="003D54A7">
        <w:rPr>
          <w:rFonts w:eastAsiaTheme="minorEastAsia"/>
        </w:rPr>
        <w:t xml:space="preserve"> guard band size, which would lead to</w:t>
      </w:r>
      <w:r>
        <w:rPr>
          <w:rFonts w:eastAsiaTheme="minorEastAsia"/>
        </w:rPr>
        <w:t xml:space="preserve"> the</w:t>
      </w:r>
      <w:r w:rsidRPr="003D54A7">
        <w:rPr>
          <w:rFonts w:eastAsiaTheme="minorEastAsia"/>
        </w:rPr>
        <w:t xml:space="preserve"> mo</w:t>
      </w:r>
      <w:r>
        <w:rPr>
          <w:rFonts w:eastAsiaTheme="minorEastAsia"/>
        </w:rPr>
        <w:t>st</w:t>
      </w:r>
      <w:r w:rsidRPr="003D54A7">
        <w:rPr>
          <w:rFonts w:eastAsiaTheme="minorEastAsia"/>
        </w:rPr>
        <w:t xml:space="preserve"> stringent coexistence requirement.</w:t>
      </w:r>
    </w:p>
    <w:p w14:paraId="00DEB022" w14:textId="128C0D4C" w:rsidR="00EB18FD" w:rsidRDefault="002568C3" w:rsidP="005430FC">
      <w:pPr>
        <w:spacing w:after="48"/>
        <w:rPr>
          <w:rFonts w:eastAsiaTheme="minorEastAsia"/>
          <w:lang w:val="en-US" w:eastAsia="ko-KR"/>
        </w:rPr>
      </w:pPr>
      <w:r>
        <w:rPr>
          <w:rFonts w:eastAsiaTheme="minorEastAsia"/>
          <w:lang w:val="en-US" w:eastAsia="ko-KR"/>
        </w:rPr>
        <w:t>Based on the agreement in RAN#109, the SBFD-SBFD coexistence study is focused on FR1, and n104, n79, n41 band might be selected</w:t>
      </w:r>
      <w:r w:rsidR="000C1FB1">
        <w:rPr>
          <w:rFonts w:eastAsiaTheme="minorEastAsia"/>
          <w:lang w:val="en-US" w:eastAsia="ko-KR"/>
        </w:rPr>
        <w:t xml:space="preserve"> for the coexistence simulation</w:t>
      </w:r>
      <w:r>
        <w:rPr>
          <w:rFonts w:eastAsiaTheme="minorEastAsia"/>
          <w:lang w:val="en-US" w:eastAsia="ko-KR"/>
        </w:rPr>
        <w:t xml:space="preserve">. </w:t>
      </w:r>
      <w:r w:rsidR="006A6AA0">
        <w:rPr>
          <w:rFonts w:eastAsiaTheme="minorEastAsia"/>
          <w:lang w:val="en-US" w:eastAsia="ko-KR"/>
        </w:rPr>
        <w:t xml:space="preserve">For the frequency band </w:t>
      </w:r>
      <w:r w:rsidR="006A6AA0" w:rsidRPr="00751F6B">
        <w:t>2496 – 2690</w:t>
      </w:r>
      <w:r w:rsidR="006A6AA0">
        <w:t>MHz (</w:t>
      </w:r>
      <w:r w:rsidR="006A6AA0">
        <w:rPr>
          <w:rFonts w:eastAsiaTheme="minorEastAsia"/>
          <w:lang w:val="en-US" w:eastAsia="ko-KR"/>
        </w:rPr>
        <w:t xml:space="preserve">n41), there would generally be no more than two operators. Thus, the coexistence case option 1 would be sufficient. However, for the frequency band </w:t>
      </w:r>
      <w:r w:rsidR="006A6AA0" w:rsidRPr="00751F6B">
        <w:t>4400 – 5000</w:t>
      </w:r>
      <w:r w:rsidR="006A6AA0">
        <w:t xml:space="preserve">MHz (n79) and frequency band 6425 – 7125MHz (n104), there could be </w:t>
      </w:r>
      <w:r w:rsidR="009E7CAB">
        <w:t xml:space="preserve">two or </w:t>
      </w:r>
      <w:r w:rsidR="006A6AA0">
        <w:t>more than two operat</w:t>
      </w:r>
      <w:r w:rsidR="009E7CAB">
        <w:t>ors</w:t>
      </w:r>
      <w:r w:rsidR="006A6AA0">
        <w:t xml:space="preserve"> coexisting. In this case, either </w:t>
      </w:r>
      <w:r w:rsidR="009E7CAB">
        <w:t xml:space="preserve">option 1, </w:t>
      </w:r>
      <w:r w:rsidR="00EB18FD">
        <w:rPr>
          <w:rFonts w:eastAsiaTheme="minorEastAsia"/>
          <w:lang w:val="en-US" w:eastAsia="ko-KR"/>
        </w:rPr>
        <w:t xml:space="preserve">option </w:t>
      </w:r>
      <w:r w:rsidR="006A6AA0">
        <w:rPr>
          <w:rFonts w:eastAsiaTheme="minorEastAsia"/>
          <w:lang w:val="en-US" w:eastAsia="ko-KR"/>
        </w:rPr>
        <w:t>2</w:t>
      </w:r>
      <w:r w:rsidR="00EB18FD">
        <w:rPr>
          <w:rFonts w:eastAsiaTheme="minorEastAsia"/>
          <w:lang w:val="en-US" w:eastAsia="ko-KR"/>
        </w:rPr>
        <w:t xml:space="preserve"> </w:t>
      </w:r>
      <w:r w:rsidR="006A6AA0">
        <w:rPr>
          <w:rFonts w:eastAsiaTheme="minorEastAsia"/>
          <w:lang w:val="en-US" w:eastAsia="ko-KR"/>
        </w:rPr>
        <w:t>or</w:t>
      </w:r>
      <w:r w:rsidR="00EB18FD">
        <w:rPr>
          <w:rFonts w:eastAsiaTheme="minorEastAsia"/>
          <w:lang w:val="en-US" w:eastAsia="ko-KR"/>
        </w:rPr>
        <w:t xml:space="preserve"> option </w:t>
      </w:r>
      <w:r w:rsidR="006A6AA0">
        <w:rPr>
          <w:rFonts w:eastAsiaTheme="minorEastAsia"/>
          <w:lang w:val="en-US" w:eastAsia="ko-KR"/>
        </w:rPr>
        <w:t>3</w:t>
      </w:r>
      <w:r w:rsidR="00EB18FD">
        <w:rPr>
          <w:rFonts w:eastAsiaTheme="minorEastAsia"/>
          <w:lang w:val="en-US" w:eastAsia="ko-KR"/>
        </w:rPr>
        <w:t xml:space="preserve"> </w:t>
      </w:r>
      <w:r w:rsidR="002B2D67">
        <w:t>coexistence case</w:t>
      </w:r>
      <w:r w:rsidR="002B2D67">
        <w:rPr>
          <w:rFonts w:eastAsiaTheme="minorEastAsia"/>
          <w:lang w:val="en-US" w:eastAsia="ko-KR"/>
        </w:rPr>
        <w:t xml:space="preserve"> can be adopted</w:t>
      </w:r>
      <w:r w:rsidR="009E7CAB">
        <w:rPr>
          <w:rFonts w:eastAsiaTheme="minorEastAsia"/>
          <w:lang w:val="en-US" w:eastAsia="ko-KR"/>
        </w:rPr>
        <w:t>.</w:t>
      </w:r>
    </w:p>
    <w:p w14:paraId="21E6D628" w14:textId="0470DBB0" w:rsidR="00C21A3B" w:rsidRDefault="00C21A3B" w:rsidP="005430FC">
      <w:pPr>
        <w:spacing w:after="48"/>
        <w:rPr>
          <w:rFonts w:eastAsiaTheme="minorEastAsia"/>
          <w:lang w:val="en-US" w:eastAsia="ko-KR"/>
        </w:rPr>
      </w:pPr>
      <w:r>
        <w:rPr>
          <w:rFonts w:eastAsiaTheme="minorEastAsia"/>
          <w:lang w:val="en-US" w:eastAsia="ko-KR"/>
        </w:rPr>
        <w:t xml:space="preserve">On the one hand, two-operator coexistence is the most common coexistence case, and the corresponding UD–DU </w:t>
      </w:r>
      <w:r w:rsidR="00F6776B">
        <w:rPr>
          <w:rFonts w:eastAsiaTheme="minorEastAsia"/>
          <w:lang w:val="en-US" w:eastAsia="ko-KR"/>
        </w:rPr>
        <w:t xml:space="preserve">slot allocation </w:t>
      </w:r>
      <w:r>
        <w:rPr>
          <w:rFonts w:eastAsiaTheme="minorEastAsia"/>
          <w:lang w:val="en-US" w:eastAsia="ko-KR"/>
        </w:rPr>
        <w:t>(option 1) should be prioritized.</w:t>
      </w:r>
    </w:p>
    <w:p w14:paraId="52D45E14" w14:textId="01269100" w:rsidR="00C21A3B" w:rsidRDefault="00C21A3B" w:rsidP="00C21A3B">
      <w:pPr>
        <w:pStyle w:val="Proposal1"/>
        <w:spacing w:before="180" w:after="156"/>
        <w:rPr>
          <w:rFonts w:eastAsiaTheme="minorEastAsia"/>
          <w:lang w:eastAsia="ko-KR"/>
        </w:rPr>
      </w:pPr>
      <w:r>
        <w:rPr>
          <w:rFonts w:eastAsiaTheme="minorEastAsia" w:hint="eastAsia"/>
          <w:lang w:eastAsia="ko-KR"/>
        </w:rPr>
        <w:lastRenderedPageBreak/>
        <w:t>R</w:t>
      </w:r>
      <w:r>
        <w:rPr>
          <w:rFonts w:eastAsiaTheme="minorEastAsia"/>
          <w:lang w:eastAsia="ko-KR"/>
        </w:rPr>
        <w:t xml:space="preserve">AN4 </w:t>
      </w:r>
      <w:r w:rsidR="0052168F">
        <w:rPr>
          <w:rFonts w:eastAsiaTheme="minorEastAsia"/>
          <w:lang w:eastAsia="ko-KR"/>
        </w:rPr>
        <w:t xml:space="preserve">SBFD–SBFD coexistence study </w:t>
      </w:r>
      <w:r>
        <w:rPr>
          <w:rFonts w:eastAsiaTheme="minorEastAsia"/>
          <w:lang w:eastAsia="ko-KR"/>
        </w:rPr>
        <w:t xml:space="preserve">could </w:t>
      </w:r>
      <w:r w:rsidR="0052168F">
        <w:rPr>
          <w:rFonts w:eastAsiaTheme="minorEastAsia"/>
          <w:lang w:eastAsia="ko-KR"/>
        </w:rPr>
        <w:t xml:space="preserve">start with </w:t>
      </w:r>
      <w:r>
        <w:rPr>
          <w:rFonts w:eastAsiaTheme="minorEastAsia"/>
          <w:lang w:eastAsia="ko-KR"/>
        </w:rPr>
        <w:t xml:space="preserve">UD–UD </w:t>
      </w:r>
      <w:r w:rsidR="00F31E25">
        <w:rPr>
          <w:rFonts w:eastAsiaTheme="minorEastAsia"/>
          <w:lang w:eastAsia="ko-KR"/>
        </w:rPr>
        <w:t xml:space="preserve">slot allocation </w:t>
      </w:r>
      <w:r>
        <w:rPr>
          <w:rFonts w:eastAsiaTheme="minorEastAsia"/>
          <w:lang w:eastAsia="ko-KR"/>
        </w:rPr>
        <w:t>for the SBFD–SBFD adjacent coexistence study.</w:t>
      </w:r>
    </w:p>
    <w:p w14:paraId="2C23785C" w14:textId="4F3EF14B" w:rsidR="00C21A3B" w:rsidRDefault="00C21A3B" w:rsidP="00C21A3B">
      <w:pPr>
        <w:spacing w:after="48"/>
      </w:pPr>
      <w:r>
        <w:rPr>
          <w:rFonts w:eastAsiaTheme="minorEastAsia" w:hint="eastAsia"/>
          <w:lang w:val="en-US" w:eastAsia="ko-KR"/>
        </w:rPr>
        <w:t>O</w:t>
      </w:r>
      <w:r>
        <w:rPr>
          <w:rFonts w:eastAsiaTheme="minorEastAsia"/>
          <w:lang w:val="en-US" w:eastAsia="ko-KR"/>
        </w:rPr>
        <w:t>n the other hand</w:t>
      </w:r>
      <w:r w:rsidR="00F31E25">
        <w:rPr>
          <w:rFonts w:eastAsiaTheme="minorEastAsia"/>
          <w:lang w:val="en-US" w:eastAsia="ko-KR"/>
        </w:rPr>
        <w:t xml:space="preserve">, </w:t>
      </w:r>
      <w:r w:rsidR="00F31E25">
        <w:t xml:space="preserve">more than two-operator coexistence cases are also critical for bands n104 &amp; n79, and UD–DUD </w:t>
      </w:r>
      <w:r w:rsidR="00F6776B">
        <w:rPr>
          <w:rFonts w:eastAsiaTheme="minorEastAsia"/>
          <w:lang w:val="en-US" w:eastAsia="ko-KR"/>
        </w:rPr>
        <w:t>slot allocation</w:t>
      </w:r>
      <w:r w:rsidR="00F6776B">
        <w:t xml:space="preserve"> </w:t>
      </w:r>
      <w:r w:rsidR="00F31E25">
        <w:t xml:space="preserve">(option </w:t>
      </w:r>
      <w:r w:rsidR="003265A8">
        <w:t>3</w:t>
      </w:r>
      <w:r w:rsidR="00F31E25">
        <w:t xml:space="preserve">) should also be studied. </w:t>
      </w:r>
      <w:r w:rsidR="002D7BA7">
        <w:rPr>
          <w:lang w:val="en-US"/>
        </w:rPr>
        <w:t xml:space="preserve">Based on the above analysis, it can be derived that the DUD–DUD slot allocation is the worst case among the SBFD–SBFD adjacent coexistence cases. </w:t>
      </w:r>
      <w:r w:rsidR="00A872B6">
        <w:rPr>
          <w:lang w:val="en-US"/>
        </w:rPr>
        <w:t xml:space="preserve">For the simple two-operator and three-operator coexistence cases, there is no need to adopt this </w:t>
      </w:r>
      <w:r w:rsidR="00BA780A">
        <w:rPr>
          <w:lang w:val="en-US"/>
        </w:rPr>
        <w:t xml:space="preserve">slot allocation scheme. </w:t>
      </w:r>
    </w:p>
    <w:p w14:paraId="25FBFDA9" w14:textId="216ADDE4" w:rsidR="00B52325" w:rsidRDefault="00B52325" w:rsidP="00C21A3B">
      <w:pPr>
        <w:pStyle w:val="Proposal1"/>
        <w:spacing w:before="180" w:after="156"/>
      </w:pPr>
      <w:r w:rsidRPr="00B52325">
        <w:rPr>
          <w:rFonts w:eastAsiaTheme="minorEastAsia" w:hint="eastAsia"/>
          <w:lang w:eastAsia="ko-KR"/>
        </w:rPr>
        <w:t>R</w:t>
      </w:r>
      <w:r w:rsidRPr="00B52325">
        <w:rPr>
          <w:rFonts w:eastAsiaTheme="minorEastAsia"/>
          <w:lang w:eastAsia="ko-KR"/>
        </w:rPr>
        <w:t xml:space="preserve">AN4 </w:t>
      </w:r>
      <w:r w:rsidRPr="00B52325">
        <w:rPr>
          <w:rFonts w:eastAsiaTheme="minorEastAsia" w:hint="eastAsia"/>
          <w:lang w:eastAsia="ko-KR"/>
        </w:rPr>
        <w:t>c</w:t>
      </w:r>
      <w:r w:rsidRPr="00B52325">
        <w:rPr>
          <w:rFonts w:eastAsiaTheme="minorEastAsia"/>
          <w:lang w:eastAsia="ko-KR"/>
        </w:rPr>
        <w:t>an discuss</w:t>
      </w:r>
      <w:r>
        <w:rPr>
          <w:rFonts w:eastAsiaTheme="minorEastAsia"/>
          <w:lang w:eastAsia="ko-KR"/>
        </w:rPr>
        <w:t xml:space="preserve"> how to apply the co-existence study results to other cases</w:t>
      </w:r>
      <w:r w:rsidRPr="00B52325">
        <w:rPr>
          <w:rFonts w:eastAsiaTheme="minorEastAsia"/>
          <w:lang w:eastAsia="ko-KR"/>
        </w:rPr>
        <w:t>.</w:t>
      </w:r>
    </w:p>
    <w:p w14:paraId="6B3CA4D7" w14:textId="50472187" w:rsidR="00FC6F28" w:rsidRPr="004052C4" w:rsidRDefault="00BA780A" w:rsidP="00FC6F28">
      <w:pPr>
        <w:spacing w:after="48"/>
        <w:rPr>
          <w:rFonts w:eastAsiaTheme="minorEastAsia"/>
          <w:lang w:val="en-US" w:eastAsia="ko-KR"/>
        </w:rPr>
      </w:pPr>
      <w:r>
        <w:rPr>
          <w:rFonts w:eastAsiaTheme="minorEastAsia"/>
          <w:lang w:val="en-US" w:eastAsia="ko-KR"/>
        </w:rPr>
        <w:t xml:space="preserve">According to the above analysis, </w:t>
      </w:r>
      <w:r w:rsidR="00FC6F28">
        <w:rPr>
          <w:rFonts w:eastAsiaTheme="minorEastAsia"/>
          <w:lang w:val="en-US" w:eastAsia="ko-KR"/>
        </w:rPr>
        <w:t>the a</w:t>
      </w:r>
      <w:r w:rsidR="00FC6F28" w:rsidRPr="004052C4">
        <w:rPr>
          <w:rFonts w:eastAsiaTheme="minorEastAsia"/>
          <w:lang w:val="en-US" w:eastAsia="ko-KR"/>
        </w:rPr>
        <w:t>djacent channel co-existence case</w:t>
      </w:r>
      <w:r w:rsidR="00FC6F28">
        <w:rPr>
          <w:rFonts w:eastAsiaTheme="minorEastAsia"/>
          <w:lang w:val="en-US" w:eastAsia="ko-KR"/>
        </w:rPr>
        <w:t xml:space="preserve"> table </w:t>
      </w:r>
      <w:r>
        <w:rPr>
          <w:rFonts w:eastAsiaTheme="minorEastAsia"/>
          <w:lang w:val="en-US" w:eastAsia="ko-KR"/>
        </w:rPr>
        <w:t xml:space="preserve">in </w:t>
      </w:r>
      <w:r w:rsidRPr="00BA780A">
        <w:rPr>
          <w:rFonts w:eastAsiaTheme="minorEastAsia"/>
          <w:lang w:val="en-US" w:eastAsia="ko-KR"/>
        </w:rPr>
        <w:t>TR38.858 Annex E</w:t>
      </w:r>
      <w:r>
        <w:rPr>
          <w:rFonts w:eastAsiaTheme="minorEastAsia"/>
          <w:lang w:val="en-US" w:eastAsia="ko-KR"/>
        </w:rPr>
        <w:t xml:space="preserve"> can be updated as</w:t>
      </w:r>
      <w:r w:rsidR="00FC6F28">
        <w:rPr>
          <w:rFonts w:eastAsiaTheme="minorEastAsia"/>
          <w:lang w:val="en-US" w:eastAsia="ko-KR"/>
        </w:rPr>
        <w:t>.</w:t>
      </w:r>
    </w:p>
    <w:p w14:paraId="108CB455" w14:textId="77777777" w:rsidR="00FC6F28" w:rsidRPr="0004298E" w:rsidRDefault="00FC6F28" w:rsidP="00FC6F28">
      <w:pPr>
        <w:pStyle w:val="TH"/>
        <w:spacing w:after="48"/>
        <w:rPr>
          <w:rFonts w:eastAsia="等线"/>
          <w:vertAlign w:val="superscript"/>
        </w:rPr>
      </w:pPr>
      <w:r w:rsidRPr="00AA2BF9">
        <w:rPr>
          <w:rFonts w:eastAsia="等线"/>
        </w:rPr>
        <w:t>Table 11.1-2</w:t>
      </w:r>
      <w:r w:rsidRPr="00AA2BF9">
        <w:rPr>
          <w:rFonts w:eastAsia="等线"/>
          <w:lang w:val="en-US" w:eastAsia="zh-CN"/>
        </w:rPr>
        <w:t>:</w:t>
      </w:r>
      <w:r>
        <w:rPr>
          <w:rFonts w:eastAsia="等线"/>
        </w:rPr>
        <w:t xml:space="preserve"> (Updated) </w:t>
      </w:r>
      <w:r w:rsidRPr="00AA2BF9">
        <w:rPr>
          <w:rFonts w:eastAsia="等线"/>
        </w:rPr>
        <w:t>Adjacent channel co-existence cases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336"/>
        <w:gridCol w:w="6095"/>
      </w:tblGrid>
      <w:tr w:rsidR="00B52325" w:rsidRPr="00AA2BF9" w14:paraId="1721D8AC" w14:textId="77777777" w:rsidTr="00B52325">
        <w:trPr>
          <w:tblHeader/>
          <w:jc w:val="center"/>
        </w:trPr>
        <w:tc>
          <w:tcPr>
            <w:tcW w:w="1069" w:type="dxa"/>
            <w:vAlign w:val="center"/>
          </w:tcPr>
          <w:p w14:paraId="6926CCC2" w14:textId="77777777" w:rsidR="00B52325" w:rsidRPr="00AA2BF9" w:rsidRDefault="00B52325" w:rsidP="005942DF">
            <w:pPr>
              <w:keepNext/>
              <w:keepLines/>
              <w:spacing w:after="48"/>
              <w:jc w:val="center"/>
              <w:rPr>
                <w:rFonts w:eastAsia="等线"/>
                <w:b/>
                <w:sz w:val="18"/>
              </w:rPr>
            </w:pPr>
            <w:r w:rsidRPr="00AA2BF9">
              <w:rPr>
                <w:rFonts w:eastAsia="等线"/>
                <w:b/>
                <w:sz w:val="18"/>
              </w:rPr>
              <w:t>Aggressor</w:t>
            </w:r>
          </w:p>
        </w:tc>
        <w:tc>
          <w:tcPr>
            <w:tcW w:w="1336" w:type="dxa"/>
            <w:shd w:val="clear" w:color="auto" w:fill="auto"/>
            <w:vAlign w:val="center"/>
          </w:tcPr>
          <w:p w14:paraId="1D1A09C9" w14:textId="77777777" w:rsidR="00B52325" w:rsidRPr="00AA2BF9" w:rsidRDefault="00B52325" w:rsidP="005942DF">
            <w:pPr>
              <w:keepNext/>
              <w:keepLines/>
              <w:spacing w:after="48"/>
              <w:jc w:val="center"/>
              <w:rPr>
                <w:rFonts w:eastAsia="等线"/>
                <w:b/>
                <w:sz w:val="18"/>
              </w:rPr>
            </w:pPr>
            <w:r w:rsidRPr="00AA2BF9">
              <w:rPr>
                <w:rFonts w:eastAsia="等线"/>
                <w:b/>
                <w:sz w:val="18"/>
              </w:rPr>
              <w:t>Victim</w:t>
            </w:r>
          </w:p>
        </w:tc>
        <w:tc>
          <w:tcPr>
            <w:tcW w:w="6095" w:type="dxa"/>
            <w:vAlign w:val="center"/>
          </w:tcPr>
          <w:p w14:paraId="0AF61FAB" w14:textId="77777777" w:rsidR="00B52325" w:rsidRPr="00AA2BF9" w:rsidRDefault="00B52325" w:rsidP="005942DF">
            <w:pPr>
              <w:keepNext/>
              <w:keepLines/>
              <w:spacing w:after="48"/>
              <w:jc w:val="center"/>
              <w:rPr>
                <w:rFonts w:eastAsia="等线"/>
                <w:b/>
                <w:sz w:val="18"/>
              </w:rPr>
            </w:pPr>
            <w:r w:rsidRPr="00AA2BF9">
              <w:rPr>
                <w:rFonts w:eastAsia="等线"/>
                <w:b/>
                <w:sz w:val="18"/>
              </w:rPr>
              <w:t>Slot allocation</w:t>
            </w:r>
          </w:p>
          <w:p w14:paraId="1F2986B7" w14:textId="77777777" w:rsidR="00B52325" w:rsidRPr="00AA2BF9" w:rsidRDefault="00B52325" w:rsidP="005942DF">
            <w:pPr>
              <w:keepNext/>
              <w:keepLines/>
              <w:spacing w:after="48"/>
              <w:jc w:val="center"/>
              <w:rPr>
                <w:rFonts w:eastAsia="等线"/>
                <w:b/>
                <w:sz w:val="18"/>
              </w:rPr>
            </w:pPr>
            <w:r w:rsidRPr="00AA2BF9">
              <w:rPr>
                <w:rFonts w:eastAsia="等线"/>
                <w:b/>
                <w:sz w:val="18"/>
              </w:rPr>
              <w:t>Aggressor                                        Victim</w:t>
            </w:r>
          </w:p>
        </w:tc>
      </w:tr>
      <w:tr w:rsidR="00B52325" w:rsidRPr="00AA2BF9" w14:paraId="392E40A6" w14:textId="77777777" w:rsidTr="00B52325">
        <w:trPr>
          <w:jc w:val="center"/>
        </w:trPr>
        <w:tc>
          <w:tcPr>
            <w:tcW w:w="1069" w:type="dxa"/>
            <w:vAlign w:val="center"/>
          </w:tcPr>
          <w:p w14:paraId="20F3CAD0" w14:textId="77777777" w:rsidR="00B52325" w:rsidRPr="00AA2BF9" w:rsidRDefault="00B52325" w:rsidP="005942DF">
            <w:pPr>
              <w:keepNext/>
              <w:keepLines/>
              <w:spacing w:after="48"/>
              <w:jc w:val="center"/>
              <w:rPr>
                <w:rFonts w:eastAsia="等线"/>
                <w:sz w:val="18"/>
                <w:lang w:eastAsia="zh-CN"/>
              </w:rPr>
            </w:pPr>
            <w:r>
              <w:rPr>
                <w:rFonts w:eastAsia="等线" w:hint="eastAsia"/>
                <w:sz w:val="18"/>
                <w:lang w:eastAsia="zh-CN"/>
              </w:rPr>
              <w:t>S</w:t>
            </w:r>
            <w:r>
              <w:rPr>
                <w:rFonts w:eastAsia="等线"/>
                <w:sz w:val="18"/>
                <w:lang w:eastAsia="zh-CN"/>
              </w:rPr>
              <w:t>BFD UD</w:t>
            </w:r>
          </w:p>
        </w:tc>
        <w:tc>
          <w:tcPr>
            <w:tcW w:w="1336" w:type="dxa"/>
            <w:shd w:val="clear" w:color="auto" w:fill="auto"/>
            <w:vAlign w:val="center"/>
          </w:tcPr>
          <w:p w14:paraId="114A4FC9" w14:textId="77777777" w:rsidR="00B52325" w:rsidRPr="00AA2BF9" w:rsidRDefault="00B52325" w:rsidP="005942DF">
            <w:pPr>
              <w:keepNext/>
              <w:keepLines/>
              <w:spacing w:after="48"/>
              <w:jc w:val="center"/>
              <w:rPr>
                <w:rFonts w:eastAsia="等线"/>
                <w:sz w:val="18"/>
                <w:lang w:eastAsia="zh-CN"/>
              </w:rPr>
            </w:pPr>
            <w:r>
              <w:rPr>
                <w:rFonts w:eastAsia="等线" w:hint="eastAsia"/>
                <w:sz w:val="18"/>
                <w:lang w:eastAsia="zh-CN"/>
              </w:rPr>
              <w:t>S</w:t>
            </w:r>
            <w:r>
              <w:rPr>
                <w:rFonts w:eastAsia="等线"/>
                <w:sz w:val="18"/>
                <w:lang w:eastAsia="zh-CN"/>
              </w:rPr>
              <w:t>BFD DU</w:t>
            </w:r>
          </w:p>
        </w:tc>
        <w:tc>
          <w:tcPr>
            <w:tcW w:w="6095" w:type="dxa"/>
            <w:vAlign w:val="center"/>
          </w:tcPr>
          <w:p w14:paraId="6AE39DEB" w14:textId="77777777" w:rsidR="00B52325" w:rsidRPr="00AA2BF9" w:rsidRDefault="00B52325" w:rsidP="005942DF">
            <w:pPr>
              <w:keepNext/>
              <w:keepLines/>
              <w:spacing w:after="48"/>
              <w:jc w:val="center"/>
              <w:rPr>
                <w:rFonts w:eastAsia="等线"/>
                <w:noProof/>
                <w:sz w:val="18"/>
                <w:lang w:val="en-US" w:eastAsia="zh-CN"/>
              </w:rPr>
            </w:pPr>
            <w:r w:rsidRPr="0004298E">
              <w:rPr>
                <w:rFonts w:eastAsia="等线"/>
                <w:noProof/>
                <w:sz w:val="18"/>
                <w:lang w:eastAsia="zh-CN"/>
              </w:rPr>
              <w:drawing>
                <wp:inline distT="0" distB="0" distL="0" distR="0" wp14:anchorId="26C59A6C" wp14:editId="05C1E57F">
                  <wp:extent cx="1408298" cy="171450"/>
                  <wp:effectExtent l="0" t="0" r="1905" b="0"/>
                  <wp:docPr id="22" name="图片 18">
                    <a:extLst xmlns:a="http://schemas.openxmlformats.org/drawingml/2006/main">
                      <a:ext uri="{FF2B5EF4-FFF2-40B4-BE49-F238E27FC236}">
                        <a16:creationId xmlns:a16="http://schemas.microsoft.com/office/drawing/2014/main" id="{BE376337-9AEC-4694-95DD-331B20FEE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BE376337-9AEC-4694-95DD-331B20FEE056}"/>
                              </a:ext>
                            </a:extLst>
                          </pic:cNvPr>
                          <pic:cNvPicPr>
                            <a:picLocks noChangeAspect="1"/>
                          </pic:cNvPicPr>
                        </pic:nvPicPr>
                        <pic:blipFill rotWithShape="1">
                          <a:blip r:embed="rId10"/>
                          <a:srcRect t="13545" b="23960"/>
                          <a:stretch/>
                        </pic:blipFill>
                        <pic:spPr>
                          <a:xfrm>
                            <a:off x="0" y="0"/>
                            <a:ext cx="1408298" cy="171450"/>
                          </a:xfrm>
                          <a:prstGeom prst="rect">
                            <a:avLst/>
                          </a:prstGeom>
                        </pic:spPr>
                      </pic:pic>
                    </a:graphicData>
                  </a:graphic>
                </wp:inline>
              </w:drawing>
            </w:r>
            <w:r>
              <w:rPr>
                <w:rFonts w:eastAsia="等线"/>
                <w:noProof/>
                <w:sz w:val="18"/>
                <w:lang w:val="en-US" w:eastAsia="zh-CN"/>
              </w:rPr>
              <w:t xml:space="preserve">           </w:t>
            </w:r>
            <w:r w:rsidRPr="0004298E">
              <w:rPr>
                <w:rFonts w:eastAsia="等线"/>
                <w:noProof/>
                <w:sz w:val="18"/>
                <w:lang w:eastAsia="zh-CN"/>
              </w:rPr>
              <w:drawing>
                <wp:inline distT="0" distB="0" distL="0" distR="0" wp14:anchorId="7A8DFED1" wp14:editId="34759548">
                  <wp:extent cx="1408298" cy="166688"/>
                  <wp:effectExtent l="0" t="0" r="1905" b="5080"/>
                  <wp:docPr id="20" name="图片 19">
                    <a:extLst xmlns:a="http://schemas.openxmlformats.org/drawingml/2006/main">
                      <a:ext uri="{FF2B5EF4-FFF2-40B4-BE49-F238E27FC236}">
                        <a16:creationId xmlns:a16="http://schemas.microsoft.com/office/drawing/2014/main" id="{25D8F721-1A6B-4793-8F5F-C81A9FFACB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25D8F721-1A6B-4793-8F5F-C81A9FFACB8C}"/>
                              </a:ext>
                            </a:extLst>
                          </pic:cNvPr>
                          <pic:cNvPicPr>
                            <a:picLocks noChangeAspect="1"/>
                          </pic:cNvPicPr>
                        </pic:nvPicPr>
                        <pic:blipFill rotWithShape="1">
                          <a:blip r:embed="rId11"/>
                          <a:srcRect t="27613" b="39044"/>
                          <a:stretch/>
                        </pic:blipFill>
                        <pic:spPr>
                          <a:xfrm>
                            <a:off x="0" y="0"/>
                            <a:ext cx="1408298" cy="166688"/>
                          </a:xfrm>
                          <a:prstGeom prst="rect">
                            <a:avLst/>
                          </a:prstGeom>
                        </pic:spPr>
                      </pic:pic>
                    </a:graphicData>
                  </a:graphic>
                </wp:inline>
              </w:drawing>
            </w:r>
          </w:p>
        </w:tc>
      </w:tr>
      <w:tr w:rsidR="00B52325" w:rsidRPr="00AA2BF9" w14:paraId="014286C2" w14:textId="77777777" w:rsidTr="00B52325">
        <w:trPr>
          <w:jc w:val="center"/>
        </w:trPr>
        <w:tc>
          <w:tcPr>
            <w:tcW w:w="1069" w:type="dxa"/>
            <w:vAlign w:val="center"/>
          </w:tcPr>
          <w:p w14:paraId="5BC5312E" w14:textId="77777777" w:rsidR="00B52325" w:rsidRDefault="00B52325" w:rsidP="005942DF">
            <w:pPr>
              <w:keepNext/>
              <w:keepLines/>
              <w:spacing w:after="48"/>
              <w:jc w:val="center"/>
              <w:rPr>
                <w:rFonts w:eastAsia="等线"/>
                <w:sz w:val="18"/>
                <w:lang w:eastAsia="zh-CN"/>
              </w:rPr>
            </w:pPr>
            <w:r>
              <w:rPr>
                <w:rFonts w:eastAsia="等线" w:hint="eastAsia"/>
                <w:sz w:val="18"/>
                <w:lang w:eastAsia="zh-CN"/>
              </w:rPr>
              <w:t>S</w:t>
            </w:r>
            <w:r>
              <w:rPr>
                <w:rFonts w:eastAsia="等线"/>
                <w:sz w:val="18"/>
                <w:lang w:eastAsia="zh-CN"/>
              </w:rPr>
              <w:t>BFD UD</w:t>
            </w:r>
          </w:p>
        </w:tc>
        <w:tc>
          <w:tcPr>
            <w:tcW w:w="1336" w:type="dxa"/>
            <w:shd w:val="clear" w:color="auto" w:fill="auto"/>
            <w:vAlign w:val="center"/>
          </w:tcPr>
          <w:p w14:paraId="15930315" w14:textId="77777777" w:rsidR="00B52325" w:rsidRDefault="00B52325" w:rsidP="005942DF">
            <w:pPr>
              <w:keepNext/>
              <w:keepLines/>
              <w:spacing w:after="48"/>
              <w:jc w:val="center"/>
              <w:rPr>
                <w:rFonts w:eastAsia="等线"/>
                <w:sz w:val="18"/>
                <w:lang w:eastAsia="zh-CN"/>
              </w:rPr>
            </w:pPr>
            <w:r>
              <w:rPr>
                <w:rFonts w:eastAsia="等线" w:hint="eastAsia"/>
                <w:sz w:val="18"/>
                <w:lang w:eastAsia="zh-CN"/>
              </w:rPr>
              <w:t>S</w:t>
            </w:r>
            <w:r>
              <w:rPr>
                <w:rFonts w:eastAsia="等线"/>
                <w:sz w:val="18"/>
                <w:lang w:eastAsia="zh-CN"/>
              </w:rPr>
              <w:t>BFD DUD</w:t>
            </w:r>
          </w:p>
        </w:tc>
        <w:tc>
          <w:tcPr>
            <w:tcW w:w="6095" w:type="dxa"/>
            <w:vAlign w:val="center"/>
          </w:tcPr>
          <w:p w14:paraId="43E9F400" w14:textId="77777777" w:rsidR="00B52325" w:rsidRPr="0004298E" w:rsidRDefault="00B52325" w:rsidP="005942DF">
            <w:pPr>
              <w:keepNext/>
              <w:keepLines/>
              <w:spacing w:after="48"/>
              <w:jc w:val="center"/>
              <w:rPr>
                <w:rFonts w:eastAsia="等线"/>
                <w:noProof/>
                <w:sz w:val="18"/>
                <w:lang w:eastAsia="zh-CN"/>
              </w:rPr>
            </w:pPr>
            <w:r w:rsidRPr="0004298E">
              <w:rPr>
                <w:rFonts w:eastAsia="等线"/>
                <w:noProof/>
                <w:sz w:val="18"/>
                <w:lang w:eastAsia="zh-CN"/>
              </w:rPr>
              <w:drawing>
                <wp:inline distT="0" distB="0" distL="0" distR="0" wp14:anchorId="1DECC0A7" wp14:editId="1EA783D0">
                  <wp:extent cx="1408298" cy="171450"/>
                  <wp:effectExtent l="0" t="0" r="1905" b="0"/>
                  <wp:docPr id="23" name="图片 18">
                    <a:extLst xmlns:a="http://schemas.openxmlformats.org/drawingml/2006/main">
                      <a:ext uri="{FF2B5EF4-FFF2-40B4-BE49-F238E27FC236}">
                        <a16:creationId xmlns:a16="http://schemas.microsoft.com/office/drawing/2014/main" id="{BE376337-9AEC-4694-95DD-331B20FEE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BE376337-9AEC-4694-95DD-331B20FEE056}"/>
                              </a:ext>
                            </a:extLst>
                          </pic:cNvPr>
                          <pic:cNvPicPr>
                            <a:picLocks noChangeAspect="1"/>
                          </pic:cNvPicPr>
                        </pic:nvPicPr>
                        <pic:blipFill rotWithShape="1">
                          <a:blip r:embed="rId10"/>
                          <a:srcRect t="13545" b="23960"/>
                          <a:stretch/>
                        </pic:blipFill>
                        <pic:spPr>
                          <a:xfrm>
                            <a:off x="0" y="0"/>
                            <a:ext cx="1408298" cy="171450"/>
                          </a:xfrm>
                          <a:prstGeom prst="rect">
                            <a:avLst/>
                          </a:prstGeom>
                        </pic:spPr>
                      </pic:pic>
                    </a:graphicData>
                  </a:graphic>
                </wp:inline>
              </w:drawing>
            </w:r>
            <w:r>
              <w:rPr>
                <w:rFonts w:eastAsia="等线" w:hint="eastAsia"/>
                <w:noProof/>
                <w:sz w:val="18"/>
                <w:lang w:eastAsia="zh-CN"/>
              </w:rPr>
              <w:t xml:space="preserve"> </w:t>
            </w:r>
            <w:r>
              <w:rPr>
                <w:rFonts w:eastAsia="等线"/>
                <w:noProof/>
                <w:sz w:val="18"/>
                <w:lang w:eastAsia="zh-CN"/>
              </w:rPr>
              <w:t xml:space="preserve">          </w:t>
            </w:r>
            <w:r w:rsidRPr="004A7DB1">
              <w:rPr>
                <w:rFonts w:eastAsia="等线"/>
                <w:noProof/>
                <w:sz w:val="18"/>
                <w:lang w:eastAsia="zh-CN"/>
              </w:rPr>
              <w:drawing>
                <wp:inline distT="0" distB="0" distL="0" distR="0" wp14:anchorId="1B787E6F" wp14:editId="789720D1">
                  <wp:extent cx="1407600" cy="154740"/>
                  <wp:effectExtent l="0" t="0" r="2540" b="0"/>
                  <wp:docPr id="27" name="图片 32">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36C1365A-D361-4085-BE3B-E8EE3182AC73}"/>
                              </a:ext>
                            </a:extLst>
                          </pic:cNvPr>
                          <pic:cNvPicPr>
                            <a:picLocks noChangeAspect="1"/>
                          </pic:cNvPicPr>
                        </pic:nvPicPr>
                        <pic:blipFill rotWithShape="1">
                          <a:blip r:embed="rId12"/>
                          <a:srcRect t="13160" b="28251"/>
                          <a:stretch/>
                        </pic:blipFill>
                        <pic:spPr>
                          <a:xfrm>
                            <a:off x="0" y="0"/>
                            <a:ext cx="1407600" cy="154740"/>
                          </a:xfrm>
                          <a:prstGeom prst="rect">
                            <a:avLst/>
                          </a:prstGeom>
                        </pic:spPr>
                      </pic:pic>
                    </a:graphicData>
                  </a:graphic>
                </wp:inline>
              </w:drawing>
            </w:r>
          </w:p>
        </w:tc>
      </w:tr>
      <w:tr w:rsidR="00B52325" w:rsidRPr="00AA2BF9" w14:paraId="7F2DCFC1" w14:textId="77777777" w:rsidTr="00B52325">
        <w:trPr>
          <w:jc w:val="center"/>
        </w:trPr>
        <w:tc>
          <w:tcPr>
            <w:tcW w:w="1069" w:type="dxa"/>
            <w:vAlign w:val="center"/>
          </w:tcPr>
          <w:p w14:paraId="69B1E81F" w14:textId="684CB027" w:rsidR="00B52325" w:rsidRDefault="00B52325" w:rsidP="005942DF">
            <w:pPr>
              <w:keepNext/>
              <w:keepLines/>
              <w:spacing w:after="48"/>
              <w:jc w:val="center"/>
              <w:rPr>
                <w:rFonts w:eastAsia="等线"/>
                <w:sz w:val="18"/>
                <w:lang w:eastAsia="zh-CN"/>
              </w:rPr>
            </w:pPr>
            <w:r>
              <w:rPr>
                <w:rFonts w:eastAsia="等线" w:hint="eastAsia"/>
                <w:sz w:val="18"/>
                <w:lang w:eastAsia="zh-CN"/>
              </w:rPr>
              <w:t>S</w:t>
            </w:r>
            <w:r>
              <w:rPr>
                <w:rFonts w:eastAsia="等线"/>
                <w:sz w:val="18"/>
                <w:lang w:eastAsia="zh-CN"/>
              </w:rPr>
              <w:t>BFD DUD</w:t>
            </w:r>
          </w:p>
        </w:tc>
        <w:tc>
          <w:tcPr>
            <w:tcW w:w="1336" w:type="dxa"/>
            <w:shd w:val="clear" w:color="auto" w:fill="auto"/>
            <w:vAlign w:val="center"/>
          </w:tcPr>
          <w:p w14:paraId="7AB22EC6" w14:textId="199FC8A7" w:rsidR="00B52325" w:rsidRDefault="00B52325" w:rsidP="005942DF">
            <w:pPr>
              <w:keepNext/>
              <w:keepLines/>
              <w:spacing w:after="48"/>
              <w:jc w:val="center"/>
              <w:rPr>
                <w:rFonts w:eastAsia="等线"/>
                <w:sz w:val="18"/>
                <w:lang w:eastAsia="zh-CN"/>
              </w:rPr>
            </w:pPr>
            <w:r>
              <w:rPr>
                <w:rFonts w:eastAsia="等线" w:hint="eastAsia"/>
                <w:sz w:val="18"/>
                <w:lang w:eastAsia="zh-CN"/>
              </w:rPr>
              <w:t>S</w:t>
            </w:r>
            <w:r>
              <w:rPr>
                <w:rFonts w:eastAsia="等线"/>
                <w:sz w:val="18"/>
                <w:lang w:eastAsia="zh-CN"/>
              </w:rPr>
              <w:t>BFD DUD</w:t>
            </w:r>
          </w:p>
        </w:tc>
        <w:tc>
          <w:tcPr>
            <w:tcW w:w="6095" w:type="dxa"/>
            <w:vAlign w:val="center"/>
          </w:tcPr>
          <w:p w14:paraId="20B948E2" w14:textId="63C293BD" w:rsidR="00B52325" w:rsidRPr="0004298E" w:rsidRDefault="00B52325" w:rsidP="005942DF">
            <w:pPr>
              <w:keepNext/>
              <w:keepLines/>
              <w:spacing w:after="48"/>
              <w:jc w:val="center"/>
              <w:rPr>
                <w:rFonts w:eastAsia="等线"/>
                <w:noProof/>
                <w:sz w:val="18"/>
                <w:lang w:eastAsia="zh-CN"/>
              </w:rPr>
            </w:pPr>
            <w:r w:rsidRPr="004A7DB1">
              <w:rPr>
                <w:rFonts w:eastAsia="等线"/>
                <w:noProof/>
                <w:sz w:val="18"/>
                <w:lang w:eastAsia="zh-CN"/>
              </w:rPr>
              <w:drawing>
                <wp:inline distT="0" distB="0" distL="0" distR="0" wp14:anchorId="3AAA9779" wp14:editId="3D81C051">
                  <wp:extent cx="1407600" cy="154740"/>
                  <wp:effectExtent l="0" t="0" r="2540" b="0"/>
                  <wp:docPr id="3" name="图片 32">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36C1365A-D361-4085-BE3B-E8EE3182AC73}"/>
                              </a:ext>
                            </a:extLst>
                          </pic:cNvPr>
                          <pic:cNvPicPr>
                            <a:picLocks noChangeAspect="1"/>
                          </pic:cNvPicPr>
                        </pic:nvPicPr>
                        <pic:blipFill rotWithShape="1">
                          <a:blip r:embed="rId12"/>
                          <a:srcRect t="13160" b="28251"/>
                          <a:stretch/>
                        </pic:blipFill>
                        <pic:spPr>
                          <a:xfrm>
                            <a:off x="0" y="0"/>
                            <a:ext cx="1407600" cy="154740"/>
                          </a:xfrm>
                          <a:prstGeom prst="rect">
                            <a:avLst/>
                          </a:prstGeom>
                        </pic:spPr>
                      </pic:pic>
                    </a:graphicData>
                  </a:graphic>
                </wp:inline>
              </w:drawing>
            </w:r>
            <w:r>
              <w:rPr>
                <w:rFonts w:eastAsia="等线" w:hint="eastAsia"/>
                <w:noProof/>
                <w:sz w:val="18"/>
                <w:lang w:eastAsia="zh-CN"/>
              </w:rPr>
              <w:t xml:space="preserve"> </w:t>
            </w:r>
            <w:r>
              <w:rPr>
                <w:rFonts w:eastAsia="等线"/>
                <w:noProof/>
                <w:sz w:val="18"/>
                <w:lang w:eastAsia="zh-CN"/>
              </w:rPr>
              <w:t xml:space="preserve">          </w:t>
            </w:r>
            <w:r w:rsidRPr="004A7DB1">
              <w:rPr>
                <w:rFonts w:eastAsia="等线"/>
                <w:noProof/>
                <w:sz w:val="18"/>
                <w:lang w:eastAsia="zh-CN"/>
              </w:rPr>
              <w:drawing>
                <wp:inline distT="0" distB="0" distL="0" distR="0" wp14:anchorId="1A7A0256" wp14:editId="55B850DE">
                  <wp:extent cx="1407600" cy="154740"/>
                  <wp:effectExtent l="0" t="0" r="2540" b="0"/>
                  <wp:docPr id="2" name="图片 32">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36C1365A-D361-4085-BE3B-E8EE3182AC73}"/>
                              </a:ext>
                            </a:extLst>
                          </pic:cNvPr>
                          <pic:cNvPicPr>
                            <a:picLocks noChangeAspect="1"/>
                          </pic:cNvPicPr>
                        </pic:nvPicPr>
                        <pic:blipFill rotWithShape="1">
                          <a:blip r:embed="rId12"/>
                          <a:srcRect t="13160" b="28251"/>
                          <a:stretch/>
                        </pic:blipFill>
                        <pic:spPr>
                          <a:xfrm>
                            <a:off x="0" y="0"/>
                            <a:ext cx="1407600" cy="154740"/>
                          </a:xfrm>
                          <a:prstGeom prst="rect">
                            <a:avLst/>
                          </a:prstGeom>
                        </pic:spPr>
                      </pic:pic>
                    </a:graphicData>
                  </a:graphic>
                </wp:inline>
              </w:drawing>
            </w:r>
          </w:p>
        </w:tc>
      </w:tr>
    </w:tbl>
    <w:p w14:paraId="77277151" w14:textId="77777777" w:rsidR="00FC6F28" w:rsidRDefault="00FC6F28" w:rsidP="008A6F34">
      <w:pPr>
        <w:pStyle w:val="3"/>
        <w:spacing w:before="24" w:after="36"/>
      </w:pPr>
    </w:p>
    <w:p w14:paraId="671F0AC2" w14:textId="225CAE11" w:rsidR="00934A6F" w:rsidRDefault="008346D8" w:rsidP="00BA780A">
      <w:pPr>
        <w:pStyle w:val="2"/>
        <w:spacing w:before="36" w:after="60"/>
      </w:pPr>
      <w:r>
        <w:rPr>
          <w:rFonts w:hint="eastAsia"/>
        </w:rPr>
        <w:t>2</w:t>
      </w:r>
      <w:r>
        <w:t xml:space="preserve">.4 </w:t>
      </w:r>
      <w:r w:rsidR="00BA780A">
        <w:t>Grid</w:t>
      </w:r>
      <w:r w:rsidR="0062681B">
        <w:t xml:space="preserve"> </w:t>
      </w:r>
      <w:r w:rsidR="00BA780A">
        <w:t>Shift</w:t>
      </w:r>
      <w:r w:rsidR="00B80CFF">
        <w:t xml:space="preserve"> </w:t>
      </w:r>
      <w:r w:rsidR="00960996">
        <w:t>Parameters</w:t>
      </w:r>
      <w:r w:rsidR="00BA780A">
        <w:t xml:space="preserve"> for the Coexistence Simulation</w:t>
      </w:r>
    </w:p>
    <w:p w14:paraId="187B2FEE" w14:textId="6663A2B8" w:rsidR="00B80CFF" w:rsidRDefault="00960996" w:rsidP="0062681B">
      <w:pPr>
        <w:spacing w:afterLines="25" w:after="60"/>
        <w:rPr>
          <w:rFonts w:eastAsiaTheme="minorEastAsia"/>
          <w:lang w:val="en-US" w:eastAsia="ko-KR"/>
        </w:rPr>
      </w:pPr>
      <w:r>
        <w:rPr>
          <w:rFonts w:eastAsiaTheme="minorEastAsia"/>
          <w:lang w:val="en-US" w:eastAsia="ko-KR"/>
        </w:rPr>
        <w:t>Generally, the site distance and grid</w:t>
      </w:r>
      <w:r w:rsidR="0062681B">
        <w:rPr>
          <w:rFonts w:eastAsiaTheme="minorEastAsia"/>
          <w:lang w:val="en-US" w:eastAsia="ko-KR"/>
        </w:rPr>
        <w:t xml:space="preserve"> </w:t>
      </w:r>
      <w:r>
        <w:rPr>
          <w:rFonts w:eastAsiaTheme="minorEastAsia"/>
          <w:lang w:val="en-US" w:eastAsia="ko-KR"/>
        </w:rPr>
        <w:t>shift are critical parameters for the adjacent channel coexistence study</w:t>
      </w:r>
      <w:r w:rsidR="0041710B">
        <w:rPr>
          <w:rFonts w:eastAsiaTheme="minorEastAsia"/>
          <w:lang w:val="en-US" w:eastAsia="ko-KR"/>
        </w:rPr>
        <w:t>. T</w:t>
      </w:r>
      <w:r>
        <w:rPr>
          <w:rFonts w:eastAsiaTheme="minorEastAsia"/>
          <w:lang w:val="en-US" w:eastAsia="ko-KR"/>
        </w:rPr>
        <w:t xml:space="preserve">hey could </w:t>
      </w:r>
      <w:r w:rsidR="0041710B">
        <w:rPr>
          <w:rFonts w:eastAsiaTheme="minorEastAsia"/>
          <w:lang w:val="en-US" w:eastAsia="ko-KR"/>
        </w:rPr>
        <w:t>influence</w:t>
      </w:r>
      <w:r>
        <w:rPr>
          <w:rFonts w:eastAsiaTheme="minorEastAsia"/>
          <w:lang w:val="en-US" w:eastAsia="ko-KR"/>
        </w:rPr>
        <w:t xml:space="preserve"> the performance of the coexistence simulations to a </w:t>
      </w:r>
      <w:r w:rsidR="0041710B">
        <w:rPr>
          <w:rFonts w:eastAsiaTheme="minorEastAsia"/>
          <w:lang w:val="en-US" w:eastAsia="ko-KR"/>
        </w:rPr>
        <w:t>large</w:t>
      </w:r>
      <w:r>
        <w:rPr>
          <w:rFonts w:eastAsiaTheme="minorEastAsia"/>
          <w:lang w:val="en-US" w:eastAsia="ko-KR"/>
        </w:rPr>
        <w:t xml:space="preserve"> extent</w:t>
      </w:r>
      <w:r w:rsidR="0041710B">
        <w:rPr>
          <w:rFonts w:eastAsiaTheme="minorEastAsia"/>
          <w:lang w:val="en-US" w:eastAsia="ko-KR"/>
        </w:rPr>
        <w:t xml:space="preserve"> and thus decide the final RF requirements for the coexistence scenarios, including </w:t>
      </w:r>
      <w:r w:rsidR="0041710B" w:rsidRPr="0041710B">
        <w:rPr>
          <w:rFonts w:eastAsiaTheme="minorEastAsia"/>
          <w:lang w:val="en-US" w:eastAsia="ko-KR"/>
        </w:rPr>
        <w:t>TX unwanted emission, RX in-band blocking</w:t>
      </w:r>
      <w:r w:rsidR="00FE0EBF">
        <w:rPr>
          <w:rFonts w:eastAsiaTheme="minorEastAsia"/>
          <w:lang w:val="en-US" w:eastAsia="ko-KR"/>
        </w:rPr>
        <w:t>.</w:t>
      </w:r>
      <w:r>
        <w:rPr>
          <w:rFonts w:eastAsiaTheme="minorEastAsia"/>
          <w:lang w:val="en-US" w:eastAsia="ko-KR"/>
        </w:rPr>
        <w:t xml:space="preserve"> </w:t>
      </w:r>
      <w:r w:rsidR="00FE0EBF">
        <w:rPr>
          <w:rFonts w:eastAsiaTheme="minorEastAsia"/>
          <w:lang w:val="en-US" w:eastAsia="ko-KR"/>
        </w:rPr>
        <w:t>For example,</w:t>
      </w:r>
      <w:r w:rsidR="0041710B">
        <w:rPr>
          <w:rFonts w:eastAsiaTheme="minorEastAsia"/>
          <w:lang w:val="en-US" w:eastAsia="ko-KR"/>
        </w:rPr>
        <w:t xml:space="preserve"> i</w:t>
      </w:r>
      <w:r w:rsidR="00613CEF">
        <w:rPr>
          <w:rFonts w:eastAsiaTheme="minorEastAsia"/>
          <w:lang w:val="en-US" w:eastAsia="ko-KR"/>
        </w:rPr>
        <w:t>n</w:t>
      </w:r>
      <w:r w:rsidR="00B80CFF">
        <w:rPr>
          <w:rFonts w:eastAsiaTheme="minorEastAsia"/>
          <w:lang w:val="en-US" w:eastAsia="ko-KR"/>
        </w:rPr>
        <w:t xml:space="preserve"> </w:t>
      </w:r>
      <w:r>
        <w:rPr>
          <w:rFonts w:eastAsiaTheme="minorEastAsia"/>
          <w:lang w:val="en-US" w:eastAsia="ko-KR"/>
        </w:rPr>
        <w:t>TR38.104</w:t>
      </w:r>
      <w:r w:rsidR="00B80CFF">
        <w:rPr>
          <w:rFonts w:eastAsiaTheme="minorEastAsia"/>
          <w:vertAlign w:val="superscript"/>
          <w:lang w:val="en-US" w:eastAsia="ko-KR"/>
        </w:rPr>
        <w:t xml:space="preserve"> [</w:t>
      </w:r>
      <w:r>
        <w:rPr>
          <w:rFonts w:eastAsiaTheme="minorEastAsia"/>
          <w:vertAlign w:val="superscript"/>
          <w:lang w:val="en-US" w:eastAsia="ko-KR"/>
        </w:rPr>
        <w:t>4</w:t>
      </w:r>
      <w:r w:rsidR="00B80CFF">
        <w:rPr>
          <w:rFonts w:eastAsiaTheme="minorEastAsia"/>
          <w:vertAlign w:val="superscript"/>
          <w:lang w:val="en-US" w:eastAsia="ko-KR"/>
        </w:rPr>
        <w:t>]</w:t>
      </w:r>
      <w:r w:rsidR="00B80CFF">
        <w:rPr>
          <w:rFonts w:eastAsiaTheme="minorEastAsia"/>
          <w:lang w:val="en-US" w:eastAsia="ko-KR"/>
        </w:rPr>
        <w:t>, it is noted that the</w:t>
      </w:r>
      <w:r w:rsidR="0041710B" w:rsidRPr="00B80CFF">
        <w:rPr>
          <w:rFonts w:eastAsiaTheme="minorEastAsia"/>
          <w:lang w:val="en-US" w:eastAsia="ko-KR"/>
        </w:rPr>
        <w:t xml:space="preserve"> in-band blocking requirements are derived based on the simulation assumption of 4GHz with 288 meters minimum distance coming from 100% grid shift between SBFD-capable BSs and neighbouring adjacent-channel TDD BSs</w:t>
      </w:r>
      <w:r w:rsidR="00E90E68">
        <w:rPr>
          <w:rFonts w:eastAsiaTheme="minorEastAsia"/>
          <w:lang w:val="en-US" w:eastAsia="ko-KR"/>
        </w:rPr>
        <w:t>.</w:t>
      </w:r>
    </w:p>
    <w:p w14:paraId="00529AEB" w14:textId="526E3FD2" w:rsidR="00C1746D" w:rsidRDefault="0062681B" w:rsidP="0062681B">
      <w:pPr>
        <w:spacing w:afterLines="25" w:after="60"/>
        <w:rPr>
          <w:rFonts w:eastAsia="Batang"/>
          <w:lang w:val="en-US" w:eastAsia="ko-KR"/>
        </w:rPr>
      </w:pPr>
      <w:r>
        <w:t xml:space="preserve">In </w:t>
      </w:r>
      <w:r w:rsidR="0041710B" w:rsidRPr="0083477B">
        <w:t xml:space="preserve">TDD-SBFD </w:t>
      </w:r>
      <w:r w:rsidR="0041710B">
        <w:t>c</w:t>
      </w:r>
      <w:r w:rsidR="0041710B" w:rsidRPr="0083477B">
        <w:t>oexistence</w:t>
      </w:r>
      <w:r w:rsidR="0041710B">
        <w:t xml:space="preserve"> study</w:t>
      </w:r>
      <w:r w:rsidR="0041710B" w:rsidRPr="0083477B">
        <w:t xml:space="preserve">, </w:t>
      </w:r>
      <w:r>
        <w:t xml:space="preserve">it is reported that </w:t>
      </w:r>
      <w:r w:rsidR="0041710B">
        <w:t>c</w:t>
      </w:r>
      <w:r w:rsidR="0041710B" w:rsidRPr="0083477B">
        <w:t>oexistence is only feasible for 100% grid-shift.</w:t>
      </w:r>
      <w:r>
        <w:t xml:space="preserve"> </w:t>
      </w:r>
      <w:r w:rsidR="00F31B80">
        <w:rPr>
          <w:rFonts w:eastAsia="Batang" w:hint="eastAsia"/>
          <w:lang w:val="en-US" w:eastAsia="ko-KR"/>
        </w:rPr>
        <w:t>F</w:t>
      </w:r>
      <w:r w:rsidR="00F31B80">
        <w:rPr>
          <w:rFonts w:eastAsia="Batang"/>
          <w:lang w:val="en-US" w:eastAsia="ko-KR"/>
        </w:rPr>
        <w:t>or the SBFD-SBFD co-existence</w:t>
      </w:r>
      <w:r w:rsidR="00E90E68">
        <w:rPr>
          <w:rFonts w:eastAsia="Batang"/>
          <w:lang w:val="en-US" w:eastAsia="ko-KR"/>
        </w:rPr>
        <w:t xml:space="preserve"> study, </w:t>
      </w:r>
      <w:r w:rsidR="0041710B">
        <w:rPr>
          <w:rFonts w:eastAsia="Batang"/>
          <w:lang w:val="en-US" w:eastAsia="ko-KR"/>
        </w:rPr>
        <w:t xml:space="preserve">the inherent full-duplex </w:t>
      </w:r>
      <w:r w:rsidR="00E006DC">
        <w:rPr>
          <w:rFonts w:eastAsia="Batang"/>
          <w:lang w:val="en-US" w:eastAsia="ko-KR"/>
        </w:rPr>
        <w:t>nature</w:t>
      </w:r>
      <w:r w:rsidR="0041710B">
        <w:rPr>
          <w:rFonts w:eastAsia="Batang"/>
          <w:lang w:val="en-US" w:eastAsia="ko-KR"/>
        </w:rPr>
        <w:t xml:space="preserve"> of SBFD </w:t>
      </w:r>
      <w:r>
        <w:rPr>
          <w:rFonts w:eastAsia="Batang"/>
          <w:lang w:val="en-US" w:eastAsia="ko-KR"/>
        </w:rPr>
        <w:t xml:space="preserve">BS </w:t>
      </w:r>
      <w:r w:rsidR="00E006DC">
        <w:rPr>
          <w:rFonts w:eastAsia="Batang"/>
          <w:lang w:val="en-US" w:eastAsia="ko-KR"/>
        </w:rPr>
        <w:t>would relax</w:t>
      </w:r>
      <w:r>
        <w:rPr>
          <w:rFonts w:eastAsia="Batang"/>
          <w:lang w:val="en-US" w:eastAsia="ko-KR"/>
        </w:rPr>
        <w:t xml:space="preserve"> ACIR requirement </w:t>
      </w:r>
      <w:r w:rsidR="00E006DC">
        <w:rPr>
          <w:rFonts w:eastAsia="Batang"/>
          <w:lang w:val="en-US" w:eastAsia="ko-KR"/>
        </w:rPr>
        <w:t>to be</w:t>
      </w:r>
      <w:r>
        <w:rPr>
          <w:rFonts w:eastAsia="Batang"/>
          <w:lang w:val="en-US" w:eastAsia="ko-KR"/>
        </w:rPr>
        <w:t xml:space="preserve"> less stringent</w:t>
      </w:r>
      <w:r w:rsidR="00E006DC">
        <w:rPr>
          <w:rFonts w:eastAsia="Batang"/>
          <w:lang w:val="en-US" w:eastAsia="ko-KR"/>
        </w:rPr>
        <w:t xml:space="preserve">. </w:t>
      </w:r>
      <w:r w:rsidR="00664AAD" w:rsidRPr="00664AAD">
        <w:rPr>
          <w:rFonts w:eastAsia="Batang"/>
          <w:lang w:val="en-US" w:eastAsia="ko-KR"/>
        </w:rPr>
        <w:t>Con</w:t>
      </w:r>
      <w:r w:rsidR="00664AAD">
        <w:rPr>
          <w:rFonts w:eastAsia="Batang"/>
          <w:lang w:val="en-US" w:eastAsia="ko-KR"/>
        </w:rPr>
        <w:t>sidering the flexibility of the deployment and the feasibility of the coexistence, RAN4 could consider the 10% grid shift as a baseline for the SBFD–SBFD coexistence study. Other options</w:t>
      </w:r>
      <w:r w:rsidR="00E26676">
        <w:rPr>
          <w:rFonts w:eastAsia="Batang"/>
          <w:lang w:val="en-US" w:eastAsia="ko-KR"/>
        </w:rPr>
        <w:t>,</w:t>
      </w:r>
      <w:r w:rsidR="00664AAD">
        <w:rPr>
          <w:rFonts w:eastAsia="Batang"/>
          <w:lang w:val="en-US" w:eastAsia="ko-KR"/>
        </w:rPr>
        <w:t xml:space="preserve"> such as 0% grid shift</w:t>
      </w:r>
      <w:r w:rsidR="00E26676">
        <w:rPr>
          <w:rFonts w:eastAsia="Batang"/>
          <w:lang w:val="en-US" w:eastAsia="ko-KR"/>
        </w:rPr>
        <w:t>,</w:t>
      </w:r>
      <w:r w:rsidR="00664AAD">
        <w:rPr>
          <w:rFonts w:eastAsia="Batang"/>
          <w:lang w:val="en-US" w:eastAsia="ko-KR"/>
        </w:rPr>
        <w:t xml:space="preserve"> could be further considered based on the </w:t>
      </w:r>
      <w:r w:rsidR="00E26676">
        <w:rPr>
          <w:rFonts w:eastAsia="Batang"/>
          <w:lang w:val="en-US" w:eastAsia="ko-KR"/>
        </w:rPr>
        <w:t xml:space="preserve">outcome of the 10% grid shift coexistence study </w:t>
      </w:r>
      <w:r w:rsidR="00664AAD">
        <w:rPr>
          <w:rFonts w:eastAsia="Batang"/>
          <w:lang w:val="en-US" w:eastAsia="ko-KR"/>
        </w:rPr>
        <w:t xml:space="preserve">if needed. </w:t>
      </w:r>
      <w:r>
        <w:rPr>
          <w:rFonts w:eastAsia="Batang"/>
          <w:lang w:val="en-US" w:eastAsia="ko-KR"/>
        </w:rPr>
        <w:t xml:space="preserve">Thus, it is recommended RAN4 </w:t>
      </w:r>
      <w:r w:rsidR="008B0358">
        <w:rPr>
          <w:rFonts w:eastAsia="Batang"/>
          <w:lang w:val="en-US" w:eastAsia="ko-KR"/>
        </w:rPr>
        <w:t xml:space="preserve">can </w:t>
      </w:r>
      <w:r>
        <w:rPr>
          <w:rFonts w:eastAsia="Batang"/>
          <w:lang w:val="en-US" w:eastAsia="ko-KR"/>
        </w:rPr>
        <w:t xml:space="preserve">consider </w:t>
      </w:r>
      <w:r w:rsidR="002D7292">
        <w:rPr>
          <w:rFonts w:eastAsia="Batang"/>
          <w:lang w:val="en-US" w:eastAsia="ko-KR"/>
        </w:rPr>
        <w:t>10% grid shift</w:t>
      </w:r>
      <w:r w:rsidR="008B0358">
        <w:rPr>
          <w:rFonts w:eastAsia="Batang"/>
          <w:lang w:val="en-US" w:eastAsia="ko-KR"/>
        </w:rPr>
        <w:t xml:space="preserve"> as starting point</w:t>
      </w:r>
      <w:r w:rsidR="002D7292">
        <w:rPr>
          <w:rFonts w:eastAsia="Batang"/>
          <w:lang w:val="en-US" w:eastAsia="ko-KR"/>
        </w:rPr>
        <w:t xml:space="preserve"> for SBFD–SBFD coexistence simulation.</w:t>
      </w:r>
    </w:p>
    <w:p w14:paraId="64979B7B" w14:textId="785494D6" w:rsidR="002D7292" w:rsidRPr="00664AAD" w:rsidRDefault="002D7292" w:rsidP="002D7292">
      <w:pPr>
        <w:pStyle w:val="Proposal1"/>
        <w:spacing w:before="180" w:after="156"/>
        <w:rPr>
          <w:rFonts w:eastAsia="Batang"/>
          <w:lang w:eastAsia="ko-KR"/>
        </w:rPr>
      </w:pPr>
      <w:r w:rsidRPr="00664AAD">
        <w:rPr>
          <w:rFonts w:eastAsia="Batang"/>
          <w:lang w:eastAsia="ko-KR"/>
        </w:rPr>
        <w:t>RAN4 to consider 10% grid shift</w:t>
      </w:r>
      <w:r w:rsidR="008B0358" w:rsidRPr="00664AAD">
        <w:rPr>
          <w:rFonts w:eastAsia="Batang"/>
          <w:lang w:eastAsia="ko-KR"/>
        </w:rPr>
        <w:t xml:space="preserve"> as a starting point</w:t>
      </w:r>
      <w:r w:rsidRPr="00664AAD">
        <w:rPr>
          <w:rFonts w:eastAsia="Batang"/>
          <w:lang w:eastAsia="ko-KR"/>
        </w:rPr>
        <w:t xml:space="preserve"> for SBFD–SBFD coexistence simulation.</w:t>
      </w:r>
    </w:p>
    <w:p w14:paraId="78C87981" w14:textId="31C5DA70" w:rsidR="00277224" w:rsidRDefault="00277224" w:rsidP="008F0AEF">
      <w:pPr>
        <w:pStyle w:val="1"/>
        <w:spacing w:before="180" w:after="72"/>
      </w:pPr>
      <w:r w:rsidRPr="00D12F45">
        <w:t>Conclusion</w:t>
      </w:r>
    </w:p>
    <w:p w14:paraId="1486B7AD" w14:textId="6C519B45" w:rsidR="008B0358" w:rsidRDefault="0081733D" w:rsidP="004F1875">
      <w:pPr>
        <w:pStyle w:val="Proposal1"/>
        <w:numPr>
          <w:ilvl w:val="0"/>
          <w:numId w:val="47"/>
        </w:numPr>
        <w:spacing w:before="180" w:after="156"/>
        <w:ind w:left="0" w:firstLine="0"/>
        <w:rPr>
          <w:rFonts w:eastAsiaTheme="minorEastAsia"/>
        </w:rPr>
      </w:pPr>
      <w:r>
        <w:t>RAN4 prioritize the SBFD–SBFD adjacent coexistence study on bands n104, and band n41 and n79 can be further considered if allowed</w:t>
      </w:r>
      <w:r w:rsidR="008B0358" w:rsidRPr="008B0358">
        <w:rPr>
          <w:rFonts w:eastAsiaTheme="minorEastAsia"/>
        </w:rPr>
        <w:t>.</w:t>
      </w:r>
    </w:p>
    <w:p w14:paraId="53110C62" w14:textId="39A1F026" w:rsidR="00EE183E" w:rsidRPr="00EE183E" w:rsidRDefault="00EE183E" w:rsidP="00EE183E">
      <w:pPr>
        <w:pStyle w:val="Proposal1"/>
        <w:numPr>
          <w:ilvl w:val="0"/>
          <w:numId w:val="47"/>
        </w:numPr>
        <w:spacing w:before="180" w:after="156"/>
        <w:rPr>
          <w:rFonts w:eastAsiaTheme="minorEastAsia"/>
        </w:rPr>
      </w:pPr>
      <w:r w:rsidRPr="00EE183E">
        <w:rPr>
          <w:rFonts w:eastAsiaTheme="minorEastAsia"/>
        </w:rPr>
        <w:t>Only Scenario 1 should be adopted for the current SBFD-SBFD co-existence simulation.</w:t>
      </w:r>
    </w:p>
    <w:p w14:paraId="2629A4CB" w14:textId="77777777" w:rsidR="00E54601" w:rsidRDefault="00E54601" w:rsidP="00E54601">
      <w:pPr>
        <w:pStyle w:val="Observation1"/>
        <w:spacing w:before="180" w:after="156"/>
        <w:rPr>
          <w:rFonts w:eastAsiaTheme="minorEastAsia"/>
        </w:rPr>
      </w:pPr>
      <w:r>
        <w:rPr>
          <w:rFonts w:eastAsiaTheme="minorEastAsia"/>
        </w:rPr>
        <w:t>For the SBFD–SBFD coexistence problem, the size of</w:t>
      </w:r>
      <w:r w:rsidRPr="00B46739">
        <w:rPr>
          <w:rFonts w:eastAsiaTheme="minorEastAsia"/>
        </w:rPr>
        <w:t xml:space="preserve"> guard band </w:t>
      </w:r>
      <w:r>
        <w:rPr>
          <w:rFonts w:eastAsiaTheme="minorEastAsia"/>
        </w:rPr>
        <w:t>should be maximized in</w:t>
      </w:r>
      <w:r w:rsidRPr="00B46739">
        <w:rPr>
          <w:rFonts w:eastAsiaTheme="minorEastAsia"/>
        </w:rPr>
        <w:t xml:space="preserve"> exchange for the better suppression of bandpass filter (BPF)</w:t>
      </w:r>
      <w:r>
        <w:rPr>
          <w:rFonts w:eastAsiaTheme="minorEastAsia"/>
        </w:rPr>
        <w:t>.</w:t>
      </w:r>
    </w:p>
    <w:p w14:paraId="02B00CCA" w14:textId="77777777" w:rsidR="00E54601" w:rsidRDefault="00E54601" w:rsidP="00E54601">
      <w:pPr>
        <w:pStyle w:val="Observation1"/>
        <w:spacing w:before="180" w:after="156"/>
        <w:rPr>
          <w:rFonts w:eastAsiaTheme="minorEastAsia"/>
        </w:rPr>
      </w:pPr>
      <w:r w:rsidRPr="003D54A7">
        <w:rPr>
          <w:rFonts w:eastAsiaTheme="minorEastAsia"/>
        </w:rPr>
        <w:t xml:space="preserve">DUD–DUD </w:t>
      </w:r>
      <w:r>
        <w:rPr>
          <w:rFonts w:eastAsiaTheme="minorEastAsia"/>
        </w:rPr>
        <w:t xml:space="preserve">slot allocation </w:t>
      </w:r>
      <w:r w:rsidRPr="003D54A7">
        <w:rPr>
          <w:rFonts w:eastAsiaTheme="minorEastAsia"/>
        </w:rPr>
        <w:t>has smalle</w:t>
      </w:r>
      <w:r>
        <w:rPr>
          <w:rFonts w:eastAsiaTheme="minorEastAsia"/>
        </w:rPr>
        <w:t>st</w:t>
      </w:r>
      <w:r w:rsidRPr="003D54A7">
        <w:rPr>
          <w:rFonts w:eastAsiaTheme="minorEastAsia"/>
        </w:rPr>
        <w:t xml:space="preserve"> guard band size, which would lead to</w:t>
      </w:r>
      <w:r>
        <w:rPr>
          <w:rFonts w:eastAsiaTheme="minorEastAsia"/>
        </w:rPr>
        <w:t xml:space="preserve"> the</w:t>
      </w:r>
      <w:r w:rsidRPr="003D54A7">
        <w:rPr>
          <w:rFonts w:eastAsiaTheme="minorEastAsia"/>
        </w:rPr>
        <w:t xml:space="preserve"> mo</w:t>
      </w:r>
      <w:r>
        <w:rPr>
          <w:rFonts w:eastAsiaTheme="minorEastAsia"/>
        </w:rPr>
        <w:t>st</w:t>
      </w:r>
      <w:r w:rsidRPr="003D54A7">
        <w:rPr>
          <w:rFonts w:eastAsiaTheme="minorEastAsia"/>
        </w:rPr>
        <w:t xml:space="preserve"> stringent coexistence requirement.</w:t>
      </w:r>
    </w:p>
    <w:p w14:paraId="62974444" w14:textId="77777777" w:rsidR="00E54601" w:rsidRDefault="00E54601" w:rsidP="00E54601">
      <w:pPr>
        <w:pStyle w:val="Proposal1"/>
        <w:spacing w:before="180" w:after="156"/>
        <w:rPr>
          <w:rFonts w:eastAsiaTheme="minorEastAsia"/>
          <w:lang w:eastAsia="ko-KR"/>
        </w:rPr>
      </w:pPr>
      <w:r>
        <w:rPr>
          <w:rFonts w:eastAsiaTheme="minorEastAsia" w:hint="eastAsia"/>
          <w:lang w:eastAsia="ko-KR"/>
        </w:rPr>
        <w:t>R</w:t>
      </w:r>
      <w:r>
        <w:rPr>
          <w:rFonts w:eastAsiaTheme="minorEastAsia"/>
          <w:lang w:eastAsia="ko-KR"/>
        </w:rPr>
        <w:t>AN4 SBFD–SBFD coexistence study could start with UD–UD slot allocation for the SBFD–SBFD adjacent coexistence study.</w:t>
      </w:r>
    </w:p>
    <w:p w14:paraId="5FF38B3C" w14:textId="77777777" w:rsidR="00E54601" w:rsidRDefault="00E54601" w:rsidP="00E54601">
      <w:pPr>
        <w:pStyle w:val="Proposal1"/>
        <w:spacing w:before="180" w:after="156"/>
      </w:pPr>
      <w:r w:rsidRPr="00B52325">
        <w:rPr>
          <w:rFonts w:eastAsiaTheme="minorEastAsia" w:hint="eastAsia"/>
          <w:lang w:eastAsia="ko-KR"/>
        </w:rPr>
        <w:t>R</w:t>
      </w:r>
      <w:r w:rsidRPr="00B52325">
        <w:rPr>
          <w:rFonts w:eastAsiaTheme="minorEastAsia"/>
          <w:lang w:eastAsia="ko-KR"/>
        </w:rPr>
        <w:t xml:space="preserve">AN4 </w:t>
      </w:r>
      <w:r w:rsidRPr="00B52325">
        <w:rPr>
          <w:rFonts w:eastAsiaTheme="minorEastAsia" w:hint="eastAsia"/>
          <w:lang w:eastAsia="ko-KR"/>
        </w:rPr>
        <w:t>c</w:t>
      </w:r>
      <w:r w:rsidRPr="00B52325">
        <w:rPr>
          <w:rFonts w:eastAsiaTheme="minorEastAsia"/>
          <w:lang w:eastAsia="ko-KR"/>
        </w:rPr>
        <w:t>an discuss</w:t>
      </w:r>
      <w:r>
        <w:rPr>
          <w:rFonts w:eastAsiaTheme="minorEastAsia"/>
          <w:lang w:eastAsia="ko-KR"/>
        </w:rPr>
        <w:t xml:space="preserve"> how to apply the co-existence study results to other cases</w:t>
      </w:r>
      <w:r w:rsidRPr="00B52325">
        <w:rPr>
          <w:rFonts w:eastAsiaTheme="minorEastAsia"/>
          <w:lang w:eastAsia="ko-KR"/>
        </w:rPr>
        <w:t>.</w:t>
      </w:r>
    </w:p>
    <w:p w14:paraId="35E04352" w14:textId="34375D93" w:rsidR="00EE183E" w:rsidRPr="00E54601" w:rsidRDefault="00E54601" w:rsidP="00EE183E">
      <w:pPr>
        <w:pStyle w:val="Proposal1"/>
        <w:spacing w:before="180" w:after="156"/>
        <w:rPr>
          <w:rFonts w:eastAsia="Batang"/>
          <w:lang w:eastAsia="ko-KR"/>
        </w:rPr>
      </w:pPr>
      <w:r w:rsidRPr="00664AAD">
        <w:rPr>
          <w:rFonts w:eastAsia="Batang"/>
          <w:lang w:eastAsia="ko-KR"/>
        </w:rPr>
        <w:t>RAN4 to consider 10% grid shift as a starting point for SBFD–SBFD coexistence simulation.</w:t>
      </w:r>
    </w:p>
    <w:p w14:paraId="52F18B5F" w14:textId="77777777" w:rsidR="00277224" w:rsidRPr="00D12F45" w:rsidRDefault="00277224" w:rsidP="008F0AEF">
      <w:pPr>
        <w:pStyle w:val="1"/>
        <w:spacing w:before="180" w:after="72"/>
      </w:pPr>
      <w:r w:rsidRPr="00D12F45">
        <w:t>References</w:t>
      </w:r>
    </w:p>
    <w:p w14:paraId="5FA7CD8B" w14:textId="78A07AAC" w:rsidR="0079664A" w:rsidRDefault="001F1574" w:rsidP="0079664A">
      <w:pPr>
        <w:pStyle w:val="Reference"/>
        <w:tabs>
          <w:tab w:val="num" w:pos="1701"/>
        </w:tabs>
        <w:spacing w:before="12" w:after="48"/>
        <w:rPr>
          <w:rFonts w:ascii="Times New Roman" w:hAnsi="Times New Roman"/>
        </w:rPr>
      </w:pPr>
      <w:bookmarkStart w:id="2" w:name="_Ref77157032"/>
      <w:bookmarkStart w:id="3" w:name="_Ref174151459"/>
      <w:bookmarkStart w:id="4" w:name="_Ref189809556"/>
      <w:r w:rsidRPr="001F1574">
        <w:rPr>
          <w:rFonts w:ascii="Times New Roman" w:hAnsi="Times New Roman"/>
        </w:rPr>
        <w:t xml:space="preserve">TR 38.858, </w:t>
      </w:r>
      <w:r>
        <w:rPr>
          <w:rFonts w:ascii="Times New Roman" w:hAnsi="Times New Roman"/>
        </w:rPr>
        <w:t>“</w:t>
      </w:r>
      <w:r w:rsidRPr="001F1574">
        <w:rPr>
          <w:rFonts w:ascii="Times New Roman" w:hAnsi="Times New Roman"/>
        </w:rPr>
        <w:t xml:space="preserve">Study on </w:t>
      </w:r>
      <w:r>
        <w:rPr>
          <w:rFonts w:ascii="Times New Roman" w:hAnsi="Times New Roman"/>
        </w:rPr>
        <w:t>E</w:t>
      </w:r>
      <w:r w:rsidRPr="001F1574">
        <w:rPr>
          <w:rFonts w:ascii="Times New Roman" w:hAnsi="Times New Roman"/>
        </w:rPr>
        <w:t xml:space="preserve">volution of NR </w:t>
      </w:r>
      <w:r>
        <w:rPr>
          <w:rFonts w:ascii="Times New Roman" w:hAnsi="Times New Roman"/>
        </w:rPr>
        <w:t>D</w:t>
      </w:r>
      <w:r w:rsidRPr="001F1574">
        <w:rPr>
          <w:rFonts w:ascii="Times New Roman" w:hAnsi="Times New Roman"/>
        </w:rPr>
        <w:t xml:space="preserve">uplex </w:t>
      </w:r>
      <w:r>
        <w:rPr>
          <w:rFonts w:ascii="Times New Roman" w:hAnsi="Times New Roman"/>
        </w:rPr>
        <w:t>O</w:t>
      </w:r>
      <w:r w:rsidRPr="001F1574">
        <w:rPr>
          <w:rFonts w:ascii="Times New Roman" w:hAnsi="Times New Roman"/>
        </w:rPr>
        <w:t>peration</w:t>
      </w:r>
      <w:r>
        <w:rPr>
          <w:rFonts w:ascii="Times New Roman" w:hAnsi="Times New Roman"/>
        </w:rPr>
        <w:t>”</w:t>
      </w:r>
    </w:p>
    <w:p w14:paraId="7137ED4E" w14:textId="55E81C7E" w:rsidR="00046EDA" w:rsidRDefault="00A42282" w:rsidP="00046EDA">
      <w:pPr>
        <w:pStyle w:val="Reference"/>
        <w:tabs>
          <w:tab w:val="num" w:pos="1701"/>
        </w:tabs>
        <w:spacing w:before="12" w:after="48"/>
        <w:rPr>
          <w:rFonts w:ascii="Times New Roman" w:hAnsi="Times New Roman"/>
        </w:rPr>
      </w:pPr>
      <w:r w:rsidRPr="00A42282">
        <w:rPr>
          <w:rFonts w:ascii="Times New Roman" w:hAnsi="Times New Roman"/>
        </w:rPr>
        <w:lastRenderedPageBreak/>
        <w:t xml:space="preserve">R4-2508713, </w:t>
      </w:r>
      <w:r w:rsidR="00DF36FB">
        <w:rPr>
          <w:rFonts w:ascii="Times New Roman" w:hAnsi="Times New Roman"/>
        </w:rPr>
        <w:t>“</w:t>
      </w:r>
      <w:r w:rsidRPr="00A42282">
        <w:rPr>
          <w:rFonts w:ascii="Times New Roman" w:hAnsi="Times New Roman"/>
        </w:rPr>
        <w:t>Way Forward for [115][307] NR_duplex_evo_BSRF</w:t>
      </w:r>
      <w:r w:rsidR="00DF36FB">
        <w:rPr>
          <w:rFonts w:ascii="Times New Roman" w:hAnsi="Times New Roman"/>
        </w:rPr>
        <w:t>”</w:t>
      </w:r>
      <w:r w:rsidR="00046EDA" w:rsidRPr="00266AF8">
        <w:rPr>
          <w:rFonts w:ascii="Times New Roman" w:hAnsi="Times New Roman"/>
        </w:rPr>
        <w:t xml:space="preserve">, </w:t>
      </w:r>
      <w:r w:rsidR="002777C2">
        <w:rPr>
          <w:rFonts w:ascii="Times New Roman" w:hAnsi="Times New Roman"/>
        </w:rPr>
        <w:t>Huawei</w:t>
      </w:r>
      <w:r w:rsidR="007F31E3">
        <w:rPr>
          <w:rFonts w:ascii="Times New Roman" w:hAnsi="Times New Roman"/>
        </w:rPr>
        <w:t>,</w:t>
      </w:r>
      <w:r w:rsidR="007F31E3">
        <w:rPr>
          <w:rFonts w:ascii="Times New Roman" w:hAnsi="Times New Roman"/>
          <w:lang w:eastAsia="ko-KR"/>
        </w:rPr>
        <w:t xml:space="preserve"> HiSilicon</w:t>
      </w:r>
      <w:r w:rsidR="002777C2">
        <w:rPr>
          <w:rFonts w:ascii="Times New Roman" w:hAnsi="Times New Roman"/>
        </w:rPr>
        <w:t xml:space="preserve">, </w:t>
      </w:r>
      <w:r w:rsidR="00046EDA" w:rsidRPr="00266AF8">
        <w:rPr>
          <w:rFonts w:ascii="Times New Roman" w:hAnsi="Times New Roman"/>
        </w:rPr>
        <w:t>3GPP TSG RAN</w:t>
      </w:r>
      <w:r>
        <w:rPr>
          <w:rFonts w:ascii="Times New Roman" w:hAnsi="Times New Roman"/>
        </w:rPr>
        <w:t>4</w:t>
      </w:r>
      <w:r w:rsidR="00046EDA" w:rsidRPr="00266AF8">
        <w:rPr>
          <w:rFonts w:ascii="Times New Roman" w:hAnsi="Times New Roman"/>
        </w:rPr>
        <w:t>#1</w:t>
      </w:r>
      <w:r>
        <w:rPr>
          <w:rFonts w:ascii="Times New Roman" w:hAnsi="Times New Roman"/>
        </w:rPr>
        <w:t>15</w:t>
      </w:r>
      <w:r w:rsidR="00046EDA" w:rsidRPr="00266AF8">
        <w:rPr>
          <w:rFonts w:ascii="Times New Roman" w:hAnsi="Times New Roman"/>
        </w:rPr>
        <w:t xml:space="preserve">, </w:t>
      </w:r>
      <w:r>
        <w:rPr>
          <w:rFonts w:ascii="Times New Roman" w:hAnsi="Times New Roman"/>
        </w:rPr>
        <w:t>Malta</w:t>
      </w:r>
      <w:r w:rsidR="00046EDA" w:rsidRPr="00266AF8">
        <w:rPr>
          <w:rFonts w:ascii="Times New Roman" w:hAnsi="Times New Roman"/>
        </w:rPr>
        <w:t xml:space="preserve">, </w:t>
      </w:r>
      <w:r>
        <w:rPr>
          <w:rFonts w:ascii="Times New Roman" w:hAnsi="Times New Roman"/>
        </w:rPr>
        <w:t>MT</w:t>
      </w:r>
      <w:r w:rsidR="00046EDA" w:rsidRPr="00266AF8">
        <w:rPr>
          <w:rFonts w:ascii="Times New Roman" w:hAnsi="Times New Roman"/>
        </w:rPr>
        <w:t xml:space="preserve">, </w:t>
      </w:r>
      <w:r>
        <w:rPr>
          <w:rFonts w:ascii="Times New Roman" w:hAnsi="Times New Roman"/>
        </w:rPr>
        <w:t>May</w:t>
      </w:r>
      <w:r w:rsidR="00046EDA" w:rsidRPr="00266AF8">
        <w:rPr>
          <w:rFonts w:ascii="Times New Roman" w:hAnsi="Times New Roman"/>
        </w:rPr>
        <w:t xml:space="preserve"> </w:t>
      </w:r>
      <w:r>
        <w:rPr>
          <w:rFonts w:ascii="Times New Roman" w:hAnsi="Times New Roman"/>
        </w:rPr>
        <w:t>1</w:t>
      </w:r>
      <w:r w:rsidR="00046EDA" w:rsidRPr="00266AF8">
        <w:rPr>
          <w:rFonts w:ascii="Times New Roman" w:hAnsi="Times New Roman"/>
        </w:rPr>
        <w:t>9-</w:t>
      </w:r>
      <w:r>
        <w:rPr>
          <w:rFonts w:ascii="Times New Roman" w:hAnsi="Times New Roman"/>
        </w:rPr>
        <w:t>2</w:t>
      </w:r>
      <w:r w:rsidR="00046EDA" w:rsidRPr="00266AF8">
        <w:rPr>
          <w:rFonts w:ascii="Times New Roman" w:hAnsi="Times New Roman"/>
        </w:rPr>
        <w:t>3, 2025</w:t>
      </w:r>
    </w:p>
    <w:p w14:paraId="7991C8DB" w14:textId="50308FCB" w:rsidR="00DF36FB" w:rsidRDefault="00DF36FB" w:rsidP="00046EDA">
      <w:pPr>
        <w:pStyle w:val="Reference"/>
        <w:tabs>
          <w:tab w:val="num" w:pos="1701"/>
        </w:tabs>
        <w:spacing w:before="12" w:after="48"/>
        <w:rPr>
          <w:rFonts w:ascii="Times New Roman" w:hAnsi="Times New Roman"/>
        </w:rPr>
      </w:pPr>
      <w:r w:rsidRPr="00DF36FB">
        <w:rPr>
          <w:rFonts w:ascii="Times New Roman" w:hAnsi="Times New Roman"/>
        </w:rPr>
        <w:t>RP</w:t>
      </w:r>
      <w:r>
        <w:rPr>
          <w:rFonts w:ascii="Times New Roman" w:hAnsi="Times New Roman"/>
        </w:rPr>
        <w:t>-</w:t>
      </w:r>
      <w:r w:rsidRPr="00DF36FB">
        <w:rPr>
          <w:rFonts w:ascii="Times New Roman" w:hAnsi="Times New Roman"/>
        </w:rPr>
        <w:t>251879</w:t>
      </w:r>
      <w:r>
        <w:rPr>
          <w:rFonts w:ascii="Times New Roman" w:hAnsi="Times New Roman"/>
        </w:rPr>
        <w:t>, “</w:t>
      </w:r>
      <w:r w:rsidRPr="00DF36FB">
        <w:rPr>
          <w:rFonts w:ascii="Times New Roman" w:hAnsi="Times New Roman"/>
        </w:rPr>
        <w:t>WF for RAN4 led REL-20 topics</w:t>
      </w:r>
      <w:r>
        <w:rPr>
          <w:rFonts w:ascii="Times New Roman" w:hAnsi="Times New Roman"/>
        </w:rPr>
        <w:t xml:space="preserve">”, </w:t>
      </w:r>
      <w:r w:rsidRPr="00DF36FB">
        <w:rPr>
          <w:rFonts w:ascii="Times New Roman" w:hAnsi="Times New Roman"/>
        </w:rPr>
        <w:t>RAN4 Chair (Apple)</w:t>
      </w:r>
      <w:r>
        <w:rPr>
          <w:rFonts w:ascii="Times New Roman" w:hAnsi="Times New Roman"/>
        </w:rPr>
        <w:t xml:space="preserve">, </w:t>
      </w:r>
      <w:r w:rsidRPr="00266AF8">
        <w:rPr>
          <w:rFonts w:ascii="Times New Roman" w:hAnsi="Times New Roman"/>
        </w:rPr>
        <w:t>3GPP TSG RAN Meeting #1</w:t>
      </w:r>
      <w:r>
        <w:rPr>
          <w:rFonts w:ascii="Times New Roman" w:hAnsi="Times New Roman"/>
        </w:rPr>
        <w:t xml:space="preserve">08, </w:t>
      </w:r>
      <w:r w:rsidRPr="00DF36FB">
        <w:rPr>
          <w:rFonts w:ascii="Times New Roman" w:hAnsi="Times New Roman"/>
        </w:rPr>
        <w:t>Prague, Czech Republic</w:t>
      </w:r>
      <w:r>
        <w:rPr>
          <w:rFonts w:ascii="Times New Roman" w:hAnsi="Times New Roman"/>
        </w:rPr>
        <w:t>, Jun. 9-13, 2025</w:t>
      </w:r>
    </w:p>
    <w:p w14:paraId="341681D3" w14:textId="4499EF68" w:rsidR="0079664A" w:rsidRDefault="00476515" w:rsidP="0079664A">
      <w:pPr>
        <w:pStyle w:val="Reference"/>
        <w:tabs>
          <w:tab w:val="num" w:pos="1701"/>
        </w:tabs>
        <w:spacing w:before="12" w:after="48"/>
        <w:rPr>
          <w:rFonts w:ascii="Times New Roman" w:hAnsi="Times New Roman"/>
        </w:rPr>
      </w:pPr>
      <w:r>
        <w:rPr>
          <w:rFonts w:ascii="Times New Roman" w:eastAsia="等线" w:hAnsi="Times New Roman" w:hint="eastAsia"/>
        </w:rPr>
        <w:t>3</w:t>
      </w:r>
      <w:r>
        <w:rPr>
          <w:rFonts w:ascii="Times New Roman" w:eastAsia="等线" w:hAnsi="Times New Roman"/>
        </w:rPr>
        <w:t>GPP TS 38.104, “</w:t>
      </w:r>
      <w:r w:rsidRPr="00476515">
        <w:rPr>
          <w:rFonts w:ascii="Times New Roman" w:eastAsia="等线" w:hAnsi="Times New Roman"/>
        </w:rPr>
        <w:t xml:space="preserve">NR; Base Station (BS) </w:t>
      </w:r>
      <w:r>
        <w:rPr>
          <w:rFonts w:ascii="Times New Roman" w:eastAsia="等线" w:hAnsi="Times New Roman"/>
        </w:rPr>
        <w:t>R</w:t>
      </w:r>
      <w:r w:rsidRPr="00476515">
        <w:rPr>
          <w:rFonts w:ascii="Times New Roman" w:eastAsia="等线" w:hAnsi="Times New Roman"/>
        </w:rPr>
        <w:t xml:space="preserve">adio </w:t>
      </w:r>
      <w:r>
        <w:rPr>
          <w:rFonts w:ascii="Times New Roman" w:eastAsia="等线" w:hAnsi="Times New Roman"/>
        </w:rPr>
        <w:t>T</w:t>
      </w:r>
      <w:r w:rsidRPr="00476515">
        <w:rPr>
          <w:rFonts w:ascii="Times New Roman" w:eastAsia="等线" w:hAnsi="Times New Roman"/>
        </w:rPr>
        <w:t xml:space="preserve">ransmission and </w:t>
      </w:r>
      <w:r>
        <w:rPr>
          <w:rFonts w:ascii="Times New Roman" w:eastAsia="等线" w:hAnsi="Times New Roman"/>
        </w:rPr>
        <w:t>R</w:t>
      </w:r>
      <w:r w:rsidRPr="00476515">
        <w:rPr>
          <w:rFonts w:ascii="Times New Roman" w:eastAsia="等线" w:hAnsi="Times New Roman"/>
        </w:rPr>
        <w:t>eception</w:t>
      </w:r>
      <w:r>
        <w:rPr>
          <w:rFonts w:ascii="Times New Roman" w:eastAsia="等线" w:hAnsi="Times New Roman"/>
        </w:rPr>
        <w:t>”</w:t>
      </w:r>
    </w:p>
    <w:p w14:paraId="725B9806" w14:textId="382E6C59" w:rsidR="00DF36FB" w:rsidRPr="00DF36FB" w:rsidRDefault="00DF36FB" w:rsidP="00DF36FB">
      <w:pPr>
        <w:pStyle w:val="Reference"/>
        <w:spacing w:after="48"/>
        <w:rPr>
          <w:rFonts w:ascii="Times New Roman" w:hAnsi="Times New Roman"/>
        </w:rPr>
      </w:pPr>
      <w:r w:rsidRPr="00DF36FB">
        <w:rPr>
          <w:rFonts w:ascii="Times New Roman" w:hAnsi="Times New Roman"/>
        </w:rPr>
        <w:t>RP</w:t>
      </w:r>
      <w:r>
        <w:rPr>
          <w:rFonts w:ascii="Times New Roman" w:eastAsia="等线" w:hAnsi="Times New Roman" w:hint="eastAsia"/>
        </w:rPr>
        <w:t>-</w:t>
      </w:r>
      <w:r w:rsidRPr="00DF36FB">
        <w:rPr>
          <w:rFonts w:ascii="Times New Roman" w:hAnsi="Times New Roman"/>
        </w:rPr>
        <w:t>252067</w:t>
      </w:r>
      <w:r>
        <w:rPr>
          <w:rFonts w:ascii="Times New Roman" w:hAnsi="Times New Roman"/>
        </w:rPr>
        <w:t>, “</w:t>
      </w:r>
      <w:r w:rsidRPr="00DF36FB">
        <w:rPr>
          <w:rFonts w:ascii="Times New Roman" w:hAnsi="Times New Roman"/>
        </w:rPr>
        <w:t>Views on 5G A Rel 20 BS RF topics</w:t>
      </w:r>
      <w:r>
        <w:rPr>
          <w:rFonts w:ascii="Times New Roman" w:hAnsi="Times New Roman"/>
        </w:rPr>
        <w:t xml:space="preserve">”, Samsung, </w:t>
      </w:r>
      <w:r w:rsidRPr="00266AF8">
        <w:rPr>
          <w:rFonts w:ascii="Times New Roman" w:hAnsi="Times New Roman"/>
        </w:rPr>
        <w:t>3GPP TSG RAN Meeting #1</w:t>
      </w:r>
      <w:r>
        <w:rPr>
          <w:rFonts w:ascii="Times New Roman" w:hAnsi="Times New Roman"/>
        </w:rPr>
        <w:t>09, Beijing, China, Sep. 15-18, 2025</w:t>
      </w:r>
    </w:p>
    <w:p w14:paraId="077C1B24" w14:textId="271B06A4" w:rsidR="007F31E3" w:rsidRDefault="007F31E3" w:rsidP="007F31E3">
      <w:pPr>
        <w:pStyle w:val="Reference"/>
        <w:tabs>
          <w:tab w:val="num" w:pos="1701"/>
        </w:tabs>
        <w:spacing w:before="12" w:after="48"/>
        <w:rPr>
          <w:rFonts w:ascii="Times New Roman" w:hAnsi="Times New Roman"/>
        </w:rPr>
      </w:pPr>
      <w:r w:rsidRPr="00046EDA">
        <w:rPr>
          <w:rFonts w:ascii="Times New Roman" w:hAnsi="Times New Roman"/>
          <w:lang w:eastAsia="ko-KR"/>
        </w:rPr>
        <w:t>RP-252</w:t>
      </w:r>
      <w:r>
        <w:rPr>
          <w:rFonts w:ascii="Times New Roman" w:hAnsi="Times New Roman"/>
          <w:lang w:eastAsia="ko-KR"/>
        </w:rPr>
        <w:t>739</w:t>
      </w:r>
      <w:r w:rsidR="00DF36FB">
        <w:rPr>
          <w:rFonts w:ascii="Times New Roman" w:hAnsi="Times New Roman"/>
          <w:lang w:eastAsia="ko-KR"/>
        </w:rPr>
        <w:t>,</w:t>
      </w:r>
      <w:r w:rsidRPr="00046EDA">
        <w:rPr>
          <w:rFonts w:ascii="Times New Roman" w:hAnsi="Times New Roman" w:hint="eastAsia"/>
          <w:lang w:eastAsia="ko-KR"/>
        </w:rPr>
        <w:t xml:space="preserve"> </w:t>
      </w:r>
      <w:r>
        <w:rPr>
          <w:rFonts w:ascii="Times New Roman" w:hAnsi="Times New Roman"/>
          <w:lang w:eastAsia="ko-KR"/>
        </w:rPr>
        <w:t>“</w:t>
      </w:r>
      <w:r w:rsidRPr="007F31E3">
        <w:rPr>
          <w:rFonts w:ascii="Times New Roman" w:hAnsi="Times New Roman"/>
          <w:lang w:eastAsia="ko-KR"/>
        </w:rPr>
        <w:t>Proposals for RAN4-led Rel-20 BS RF topics</w:t>
      </w:r>
      <w:r>
        <w:rPr>
          <w:rFonts w:ascii="Times New Roman" w:hAnsi="Times New Roman"/>
          <w:lang w:eastAsia="ko-KR"/>
        </w:rPr>
        <w:t xml:space="preserve">”, </w:t>
      </w:r>
      <w:r w:rsidRPr="004C7504">
        <w:rPr>
          <w:rFonts w:ascii="Times New Roman" w:hAnsi="Times New Roman"/>
          <w:lang w:eastAsia="ko-KR"/>
        </w:rPr>
        <w:t>Huawei</w:t>
      </w:r>
      <w:r>
        <w:rPr>
          <w:rFonts w:ascii="Times New Roman" w:hAnsi="Times New Roman"/>
          <w:lang w:eastAsia="ko-KR"/>
        </w:rPr>
        <w:t xml:space="preserve">, HiSilicon, </w:t>
      </w:r>
      <w:r w:rsidRPr="00266AF8">
        <w:rPr>
          <w:rFonts w:ascii="Times New Roman" w:hAnsi="Times New Roman"/>
        </w:rPr>
        <w:t>3GPP TSG RAN Meeting #1</w:t>
      </w:r>
      <w:r>
        <w:rPr>
          <w:rFonts w:ascii="Times New Roman" w:hAnsi="Times New Roman"/>
        </w:rPr>
        <w:t>09, Beijing, China, Sep. 15-18, 2025</w:t>
      </w:r>
    </w:p>
    <w:bookmarkEnd w:id="2"/>
    <w:bookmarkEnd w:id="3"/>
    <w:bookmarkEnd w:id="4"/>
    <w:p w14:paraId="68A09BD1" w14:textId="1F1BAD7E" w:rsidR="003C143A" w:rsidRPr="00613CEF" w:rsidRDefault="008A6F34" w:rsidP="003C143A">
      <w:pPr>
        <w:pStyle w:val="Reference"/>
        <w:tabs>
          <w:tab w:val="num" w:pos="1701"/>
        </w:tabs>
        <w:spacing w:before="12" w:after="48"/>
        <w:rPr>
          <w:rFonts w:ascii="Times New Roman" w:hAnsi="Times New Roman"/>
        </w:rPr>
      </w:pPr>
      <w:r>
        <w:rPr>
          <w:rFonts w:ascii="Times New Roman" w:eastAsia="等线" w:hAnsi="Times New Roman" w:hint="eastAsia"/>
        </w:rPr>
        <w:t>T</w:t>
      </w:r>
      <w:r>
        <w:rPr>
          <w:rFonts w:ascii="Times New Roman" w:eastAsia="等线" w:hAnsi="Times New Roman"/>
        </w:rPr>
        <w:t>R 38.858, “</w:t>
      </w:r>
      <w:r w:rsidRPr="008A6F34">
        <w:rPr>
          <w:rFonts w:ascii="Times New Roman" w:eastAsia="等线" w:hAnsi="Times New Roman"/>
        </w:rPr>
        <w:t>Study on Evolution of NR Duplex Operation</w:t>
      </w:r>
      <w:r>
        <w:rPr>
          <w:rFonts w:ascii="Times New Roman" w:eastAsia="等线" w:hAnsi="Times New Roman"/>
        </w:rPr>
        <w:t>: Annex E”</w:t>
      </w:r>
    </w:p>
    <w:p w14:paraId="03DB822F" w14:textId="7E5FE442" w:rsidR="00613CEF" w:rsidRPr="00450754" w:rsidRDefault="00613CEF" w:rsidP="003C143A">
      <w:pPr>
        <w:pStyle w:val="Reference"/>
        <w:tabs>
          <w:tab w:val="num" w:pos="1701"/>
        </w:tabs>
        <w:spacing w:before="12" w:after="48"/>
        <w:rPr>
          <w:rFonts w:ascii="Times New Roman" w:hAnsi="Times New Roman"/>
        </w:rPr>
      </w:pPr>
      <w:r w:rsidRPr="00613CEF">
        <w:rPr>
          <w:rFonts w:ascii="Times New Roman" w:eastAsia="等线" w:hAnsi="Times New Roman"/>
        </w:rPr>
        <w:t>R4-2511255</w:t>
      </w:r>
      <w:r>
        <w:rPr>
          <w:rFonts w:ascii="Times New Roman" w:eastAsia="等线" w:hAnsi="Times New Roman"/>
        </w:rPr>
        <w:t>, “</w:t>
      </w:r>
      <w:r w:rsidRPr="00613CEF">
        <w:rPr>
          <w:rFonts w:ascii="Times New Roman" w:eastAsia="等线" w:hAnsi="Times New Roman"/>
        </w:rPr>
        <w:t xml:space="preserve">CR to TS38.104 to </w:t>
      </w:r>
      <w:r w:rsidR="00DB32FF">
        <w:rPr>
          <w:rFonts w:ascii="Times New Roman" w:eastAsia="等线" w:hAnsi="Times New Roman"/>
        </w:rPr>
        <w:t>I</w:t>
      </w:r>
      <w:r w:rsidRPr="00613CEF">
        <w:rPr>
          <w:rFonts w:ascii="Times New Roman" w:eastAsia="等线" w:hAnsi="Times New Roman"/>
        </w:rPr>
        <w:t xml:space="preserve">ntroduce BS RF </w:t>
      </w:r>
      <w:r w:rsidR="00DB32FF">
        <w:rPr>
          <w:rFonts w:ascii="Times New Roman" w:eastAsia="等线" w:hAnsi="Times New Roman"/>
        </w:rPr>
        <w:t>R</w:t>
      </w:r>
      <w:r w:rsidRPr="00613CEF">
        <w:rPr>
          <w:rFonts w:ascii="Times New Roman" w:eastAsia="等线" w:hAnsi="Times New Roman"/>
        </w:rPr>
        <w:t>equirement for SBFD-</w:t>
      </w:r>
      <w:r w:rsidR="00DB32FF">
        <w:rPr>
          <w:rFonts w:ascii="Times New Roman" w:eastAsia="等线" w:hAnsi="Times New Roman"/>
        </w:rPr>
        <w:t>C</w:t>
      </w:r>
      <w:r w:rsidRPr="00613CEF">
        <w:rPr>
          <w:rFonts w:ascii="Times New Roman" w:eastAsia="等线" w:hAnsi="Times New Roman"/>
        </w:rPr>
        <w:t>apable BS</w:t>
      </w:r>
      <w:r>
        <w:rPr>
          <w:rFonts w:ascii="Times New Roman" w:eastAsia="等线" w:hAnsi="Times New Roman"/>
        </w:rPr>
        <w:t>”</w:t>
      </w:r>
      <w:r w:rsidR="00DB32FF">
        <w:rPr>
          <w:rFonts w:ascii="Times New Roman" w:eastAsia="等线" w:hAnsi="Times New Roman"/>
        </w:rPr>
        <w:t xml:space="preserve">, Samsung, </w:t>
      </w:r>
      <w:r w:rsidR="00DB32FF" w:rsidRPr="00266AF8">
        <w:rPr>
          <w:rFonts w:ascii="Times New Roman" w:hAnsi="Times New Roman"/>
        </w:rPr>
        <w:t>3GPP TSG RAN</w:t>
      </w:r>
      <w:r w:rsidR="00DB32FF">
        <w:rPr>
          <w:rFonts w:ascii="Times New Roman" w:hAnsi="Times New Roman"/>
        </w:rPr>
        <w:t>4</w:t>
      </w:r>
      <w:r w:rsidR="00DB32FF" w:rsidRPr="00266AF8">
        <w:rPr>
          <w:rFonts w:ascii="Times New Roman" w:hAnsi="Times New Roman"/>
        </w:rPr>
        <w:t>#1</w:t>
      </w:r>
      <w:r w:rsidR="00DB32FF">
        <w:rPr>
          <w:rFonts w:ascii="Times New Roman" w:hAnsi="Times New Roman"/>
        </w:rPr>
        <w:t xml:space="preserve">16, </w:t>
      </w:r>
      <w:r w:rsidR="00DB32FF" w:rsidRPr="00DB32FF">
        <w:rPr>
          <w:rFonts w:ascii="Times New Roman" w:eastAsia="等线" w:hAnsi="Times New Roman"/>
        </w:rPr>
        <w:t>Bengaluru, India, Aug</w:t>
      </w:r>
      <w:r w:rsidR="00DB32FF">
        <w:rPr>
          <w:rFonts w:ascii="Times New Roman" w:eastAsia="等线" w:hAnsi="Times New Roman"/>
        </w:rPr>
        <w:t>. 25-29</w:t>
      </w:r>
      <w:r w:rsidR="00DB32FF" w:rsidRPr="00DB32FF">
        <w:rPr>
          <w:rFonts w:ascii="Times New Roman" w:eastAsia="等线" w:hAnsi="Times New Roman"/>
        </w:rPr>
        <w:t>, 2025</w:t>
      </w:r>
    </w:p>
    <w:p w14:paraId="3FC4A0E0" w14:textId="0D0C1800" w:rsidR="00450754" w:rsidRPr="003C143A" w:rsidRDefault="00450754" w:rsidP="003C143A">
      <w:pPr>
        <w:pStyle w:val="Reference"/>
        <w:tabs>
          <w:tab w:val="num" w:pos="1701"/>
        </w:tabs>
        <w:spacing w:before="12" w:after="48"/>
        <w:rPr>
          <w:rFonts w:ascii="Times New Roman" w:hAnsi="Times New Roman"/>
        </w:rPr>
      </w:pPr>
      <w:r>
        <w:rPr>
          <w:rFonts w:ascii="Times New Roman" w:eastAsia="等线" w:hAnsi="Times New Roman"/>
        </w:rPr>
        <w:t>T</w:t>
      </w:r>
      <w:r w:rsidR="00960996">
        <w:rPr>
          <w:rFonts w:ascii="Times New Roman" w:eastAsia="等线" w:hAnsi="Times New Roman"/>
        </w:rPr>
        <w:t>R</w:t>
      </w:r>
      <w:r>
        <w:rPr>
          <w:rFonts w:ascii="Times New Roman" w:eastAsia="等线" w:hAnsi="Times New Roman"/>
        </w:rPr>
        <w:t xml:space="preserve"> 38.922 “</w:t>
      </w:r>
      <w:r w:rsidR="000D6778" w:rsidRPr="000D6778">
        <w:rPr>
          <w:rFonts w:ascii="Times New Roman" w:eastAsia="等线" w:hAnsi="Times New Roman"/>
        </w:rPr>
        <w:t>Study on International Mobile Telecommunications (IMT) parameters for 4400 - 4800 MHz, 7125 - 8400 MHz and 14800 - 15350 MHz;</w:t>
      </w:r>
      <w:r>
        <w:rPr>
          <w:rFonts w:ascii="Times New Roman" w:eastAsia="等线" w:hAnsi="Times New Roman"/>
        </w:rPr>
        <w:t>”</w:t>
      </w:r>
    </w:p>
    <w:sectPr w:rsidR="00450754" w:rsidRPr="003C143A" w:rsidSect="008F6896">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0929" w14:textId="77777777" w:rsidR="00401776" w:rsidRDefault="00401776">
      <w:pPr>
        <w:spacing w:before="12" w:after="48"/>
      </w:pPr>
      <w:r>
        <w:separator/>
      </w:r>
    </w:p>
  </w:endnote>
  <w:endnote w:type="continuationSeparator" w:id="0">
    <w:p w14:paraId="14D37C58" w14:textId="77777777" w:rsidR="00401776" w:rsidRDefault="00401776">
      <w:pPr>
        <w:spacing w:before="12"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860" w14:textId="77777777" w:rsidR="000E19BE" w:rsidRDefault="000E19BE">
    <w:pPr>
      <w:pStyle w:val="a9"/>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a9"/>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a9"/>
      <w:spacing w:before="12" w:after="4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a9"/>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a9"/>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DAE2" w14:textId="77777777" w:rsidR="00401776" w:rsidRDefault="00401776">
      <w:pPr>
        <w:spacing w:before="12" w:after="48"/>
      </w:pPr>
      <w:r>
        <w:separator/>
      </w:r>
    </w:p>
  </w:footnote>
  <w:footnote w:type="continuationSeparator" w:id="0">
    <w:p w14:paraId="482F31C4" w14:textId="77777777" w:rsidR="00401776" w:rsidRDefault="00401776">
      <w:pPr>
        <w:spacing w:before="12"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7193" w14:textId="77777777" w:rsidR="000E19BE" w:rsidRDefault="000E19BE">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BE1" w14:textId="77777777" w:rsidR="000E19BE" w:rsidRDefault="000E19BE">
    <w:pPr>
      <w:pStyle w:val="a3"/>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34" w14:textId="77777777" w:rsidR="000E19BE" w:rsidRDefault="000E19BE">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CB144B"/>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5" w15:restartNumberingAfterBreak="0">
    <w:nsid w:val="4D783985"/>
    <w:multiLevelType w:val="multilevel"/>
    <w:tmpl w:val="518AAD42"/>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color w:val="auto"/>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E817C9A"/>
    <w:multiLevelType w:val="hybridMultilevel"/>
    <w:tmpl w:val="D932E8E8"/>
    <w:lvl w:ilvl="0" w:tplc="1A1C1F5E">
      <w:start w:val="1"/>
      <w:numFmt w:val="decimal"/>
      <w:suff w:val="space"/>
      <w:lvlText w:val="Observation %1."/>
      <w:lvlJc w:val="left"/>
      <w:pPr>
        <w:ind w:left="0" w:firstLine="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4"/>
  </w:num>
  <w:num w:numId="2">
    <w:abstractNumId w:val="13"/>
  </w:num>
  <w:num w:numId="3">
    <w:abstractNumId w:val="6"/>
  </w:num>
  <w:num w:numId="4">
    <w:abstractNumId w:val="16"/>
  </w:num>
  <w:num w:numId="5">
    <w:abstractNumId w:val="0"/>
  </w:num>
  <w:num w:numId="6">
    <w:abstractNumId w:val="18"/>
  </w:num>
  <w:num w:numId="7">
    <w:abstractNumId w:val="13"/>
    <w:lvlOverride w:ilvl="0">
      <w:startOverride w:val="1"/>
    </w:lvlOverride>
  </w:num>
  <w:num w:numId="8">
    <w:abstractNumId w:val="16"/>
    <w:lvlOverride w:ilvl="0">
      <w:startOverride w:val="1"/>
    </w:lvlOverride>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lvlOverride w:ilvl="0">
      <w:startOverride w:val="1"/>
    </w:lvlOverride>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1"/>
  </w:num>
  <w:num w:numId="32">
    <w:abstractNumId w:val="1"/>
  </w:num>
  <w:num w:numId="33">
    <w:abstractNumId w:val="2"/>
  </w:num>
  <w:num w:numId="34">
    <w:abstractNumId w:val="5"/>
  </w:num>
  <w:num w:numId="35">
    <w:abstractNumId w:val="3"/>
  </w:num>
  <w:num w:numId="36">
    <w:abstractNumId w:val="12"/>
  </w:num>
  <w:num w:numId="37">
    <w:abstractNumId w:val="13"/>
    <w:lvlOverride w:ilvl="0">
      <w:startOverride w:val="1"/>
    </w:lvlOverride>
  </w:num>
  <w:num w:numId="38">
    <w:abstractNumId w:val="4"/>
  </w:num>
  <w:num w:numId="39">
    <w:abstractNumId w:val="4"/>
    <w:lvlOverride w:ilvl="0">
      <w:startOverride w:val="1"/>
    </w:lvlOverride>
  </w:num>
  <w:num w:numId="40">
    <w:abstractNumId w:val="4"/>
    <w:lvlOverride w:ilvl="0">
      <w:startOverride w:val="1"/>
    </w:lvlOverride>
  </w:num>
  <w:num w:numId="41">
    <w:abstractNumId w:val="13"/>
    <w:lvlOverride w:ilvl="0">
      <w:startOverride w:val="1"/>
    </w:lvlOverride>
  </w:num>
  <w:num w:numId="42">
    <w:abstractNumId w:val="7"/>
  </w:num>
  <w:num w:numId="43">
    <w:abstractNumId w:val="10"/>
  </w:num>
  <w:num w:numId="44">
    <w:abstractNumId w:val="15"/>
  </w:num>
  <w:num w:numId="45">
    <w:abstractNumId w:val="17"/>
  </w:num>
  <w:num w:numId="46">
    <w:abstractNumId w:val="9"/>
  </w:num>
  <w:num w:numId="47">
    <w:abstractNumId w:val="13"/>
    <w:lvlOverride w:ilvl="0">
      <w:startOverride w:val="1"/>
    </w:lvlOverride>
  </w:num>
  <w:num w:numId="48">
    <w:abstractNumId w:val="8"/>
  </w:num>
  <w:num w:numId="49">
    <w:abstractNumId w:val="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2020"/>
    <w:rsid w:val="00002CE6"/>
    <w:rsid w:val="0000343E"/>
    <w:rsid w:val="00007252"/>
    <w:rsid w:val="00010501"/>
    <w:rsid w:val="00013677"/>
    <w:rsid w:val="00013DDC"/>
    <w:rsid w:val="000143BC"/>
    <w:rsid w:val="00016836"/>
    <w:rsid w:val="00016C28"/>
    <w:rsid w:val="00016FB9"/>
    <w:rsid w:val="00020061"/>
    <w:rsid w:val="00020C46"/>
    <w:rsid w:val="0002265C"/>
    <w:rsid w:val="0002305D"/>
    <w:rsid w:val="000258CC"/>
    <w:rsid w:val="00025C41"/>
    <w:rsid w:val="000265FC"/>
    <w:rsid w:val="000275D0"/>
    <w:rsid w:val="000277F1"/>
    <w:rsid w:val="00030296"/>
    <w:rsid w:val="0003101D"/>
    <w:rsid w:val="000326DD"/>
    <w:rsid w:val="000332A1"/>
    <w:rsid w:val="00034296"/>
    <w:rsid w:val="000348EB"/>
    <w:rsid w:val="00040594"/>
    <w:rsid w:val="00041007"/>
    <w:rsid w:val="0004268A"/>
    <w:rsid w:val="0004298E"/>
    <w:rsid w:val="00042D90"/>
    <w:rsid w:val="000444DA"/>
    <w:rsid w:val="00044C04"/>
    <w:rsid w:val="00045C5A"/>
    <w:rsid w:val="00046667"/>
    <w:rsid w:val="00046EDA"/>
    <w:rsid w:val="000523D7"/>
    <w:rsid w:val="00055541"/>
    <w:rsid w:val="0005580B"/>
    <w:rsid w:val="00055F7C"/>
    <w:rsid w:val="00057683"/>
    <w:rsid w:val="00061781"/>
    <w:rsid w:val="00063E30"/>
    <w:rsid w:val="000659AF"/>
    <w:rsid w:val="000668BE"/>
    <w:rsid w:val="000675EA"/>
    <w:rsid w:val="00070A83"/>
    <w:rsid w:val="0007215D"/>
    <w:rsid w:val="00072524"/>
    <w:rsid w:val="000741B4"/>
    <w:rsid w:val="00074E2E"/>
    <w:rsid w:val="00075C1F"/>
    <w:rsid w:val="0008007E"/>
    <w:rsid w:val="00081288"/>
    <w:rsid w:val="0008385F"/>
    <w:rsid w:val="000847CB"/>
    <w:rsid w:val="00086BCC"/>
    <w:rsid w:val="00091DC6"/>
    <w:rsid w:val="00094AF6"/>
    <w:rsid w:val="00096DBA"/>
    <w:rsid w:val="0009704D"/>
    <w:rsid w:val="000973D8"/>
    <w:rsid w:val="000A08DC"/>
    <w:rsid w:val="000A1EB3"/>
    <w:rsid w:val="000A2D2A"/>
    <w:rsid w:val="000A32DD"/>
    <w:rsid w:val="000A375D"/>
    <w:rsid w:val="000A6773"/>
    <w:rsid w:val="000A7769"/>
    <w:rsid w:val="000B088D"/>
    <w:rsid w:val="000B0F83"/>
    <w:rsid w:val="000B2C44"/>
    <w:rsid w:val="000B2C92"/>
    <w:rsid w:val="000B48FE"/>
    <w:rsid w:val="000B64C0"/>
    <w:rsid w:val="000B6F53"/>
    <w:rsid w:val="000B7360"/>
    <w:rsid w:val="000B758C"/>
    <w:rsid w:val="000C1D89"/>
    <w:rsid w:val="000C1FB1"/>
    <w:rsid w:val="000C388A"/>
    <w:rsid w:val="000C3FA3"/>
    <w:rsid w:val="000C50B4"/>
    <w:rsid w:val="000C6787"/>
    <w:rsid w:val="000D26EA"/>
    <w:rsid w:val="000D3B70"/>
    <w:rsid w:val="000D6778"/>
    <w:rsid w:val="000D70B8"/>
    <w:rsid w:val="000D750A"/>
    <w:rsid w:val="000E0999"/>
    <w:rsid w:val="000E19BE"/>
    <w:rsid w:val="000E2A09"/>
    <w:rsid w:val="000E2EEC"/>
    <w:rsid w:val="000E3B47"/>
    <w:rsid w:val="000E4DFE"/>
    <w:rsid w:val="000E519F"/>
    <w:rsid w:val="000E5D80"/>
    <w:rsid w:val="000E7C59"/>
    <w:rsid w:val="000F2C22"/>
    <w:rsid w:val="000F438B"/>
    <w:rsid w:val="000F4CBD"/>
    <w:rsid w:val="000F51D6"/>
    <w:rsid w:val="000F5495"/>
    <w:rsid w:val="000F5D28"/>
    <w:rsid w:val="000F5FA8"/>
    <w:rsid w:val="000F659C"/>
    <w:rsid w:val="000F6953"/>
    <w:rsid w:val="00101A46"/>
    <w:rsid w:val="00101B19"/>
    <w:rsid w:val="00102C9D"/>
    <w:rsid w:val="00103B75"/>
    <w:rsid w:val="00105153"/>
    <w:rsid w:val="001072BB"/>
    <w:rsid w:val="0011166C"/>
    <w:rsid w:val="00112149"/>
    <w:rsid w:val="00112F9C"/>
    <w:rsid w:val="001138AE"/>
    <w:rsid w:val="001139BA"/>
    <w:rsid w:val="0011496A"/>
    <w:rsid w:val="00115E30"/>
    <w:rsid w:val="0011662B"/>
    <w:rsid w:val="00117B74"/>
    <w:rsid w:val="0012123B"/>
    <w:rsid w:val="0012401C"/>
    <w:rsid w:val="001246F2"/>
    <w:rsid w:val="001257FF"/>
    <w:rsid w:val="00130E99"/>
    <w:rsid w:val="001319A7"/>
    <w:rsid w:val="00133153"/>
    <w:rsid w:val="00133D5F"/>
    <w:rsid w:val="001347FA"/>
    <w:rsid w:val="001404EC"/>
    <w:rsid w:val="00140A8E"/>
    <w:rsid w:val="00140D67"/>
    <w:rsid w:val="001450FC"/>
    <w:rsid w:val="00146855"/>
    <w:rsid w:val="001477F1"/>
    <w:rsid w:val="00150212"/>
    <w:rsid w:val="00150E1E"/>
    <w:rsid w:val="00150F75"/>
    <w:rsid w:val="00151505"/>
    <w:rsid w:val="00152E44"/>
    <w:rsid w:val="001531AE"/>
    <w:rsid w:val="001535CC"/>
    <w:rsid w:val="00153A9D"/>
    <w:rsid w:val="001542C7"/>
    <w:rsid w:val="00156029"/>
    <w:rsid w:val="001566D2"/>
    <w:rsid w:val="00161EB9"/>
    <w:rsid w:val="0016310D"/>
    <w:rsid w:val="00165EE5"/>
    <w:rsid w:val="001662D7"/>
    <w:rsid w:val="00167617"/>
    <w:rsid w:val="00167AD3"/>
    <w:rsid w:val="00170ED7"/>
    <w:rsid w:val="001726C7"/>
    <w:rsid w:val="00172E26"/>
    <w:rsid w:val="00173EB5"/>
    <w:rsid w:val="00174C5E"/>
    <w:rsid w:val="00176559"/>
    <w:rsid w:val="00177D52"/>
    <w:rsid w:val="00180C2E"/>
    <w:rsid w:val="00180EAC"/>
    <w:rsid w:val="00181D7B"/>
    <w:rsid w:val="00181F20"/>
    <w:rsid w:val="001823F5"/>
    <w:rsid w:val="001833DB"/>
    <w:rsid w:val="00183433"/>
    <w:rsid w:val="001848AC"/>
    <w:rsid w:val="00186419"/>
    <w:rsid w:val="001868CE"/>
    <w:rsid w:val="00192D3F"/>
    <w:rsid w:val="001937FC"/>
    <w:rsid w:val="0019397F"/>
    <w:rsid w:val="0019423E"/>
    <w:rsid w:val="001954A9"/>
    <w:rsid w:val="00196518"/>
    <w:rsid w:val="00196862"/>
    <w:rsid w:val="001970E3"/>
    <w:rsid w:val="0019714A"/>
    <w:rsid w:val="001A0A3A"/>
    <w:rsid w:val="001A2F9F"/>
    <w:rsid w:val="001A327A"/>
    <w:rsid w:val="001A4064"/>
    <w:rsid w:val="001A5CAC"/>
    <w:rsid w:val="001A6143"/>
    <w:rsid w:val="001B035F"/>
    <w:rsid w:val="001B20A9"/>
    <w:rsid w:val="001B2138"/>
    <w:rsid w:val="001B4510"/>
    <w:rsid w:val="001B5B8E"/>
    <w:rsid w:val="001B6303"/>
    <w:rsid w:val="001B66BA"/>
    <w:rsid w:val="001B6C74"/>
    <w:rsid w:val="001B7151"/>
    <w:rsid w:val="001B725A"/>
    <w:rsid w:val="001C0923"/>
    <w:rsid w:val="001C0F27"/>
    <w:rsid w:val="001C22D3"/>
    <w:rsid w:val="001C26D1"/>
    <w:rsid w:val="001C3F2E"/>
    <w:rsid w:val="001C6315"/>
    <w:rsid w:val="001C6447"/>
    <w:rsid w:val="001C6F2B"/>
    <w:rsid w:val="001C77FB"/>
    <w:rsid w:val="001D036D"/>
    <w:rsid w:val="001D133C"/>
    <w:rsid w:val="001D161F"/>
    <w:rsid w:val="001D3817"/>
    <w:rsid w:val="001D4874"/>
    <w:rsid w:val="001D560B"/>
    <w:rsid w:val="001D7824"/>
    <w:rsid w:val="001E0F4E"/>
    <w:rsid w:val="001E24D6"/>
    <w:rsid w:val="001E4457"/>
    <w:rsid w:val="001E4DC1"/>
    <w:rsid w:val="001E5776"/>
    <w:rsid w:val="001E6139"/>
    <w:rsid w:val="001E6F91"/>
    <w:rsid w:val="001E7871"/>
    <w:rsid w:val="001E7916"/>
    <w:rsid w:val="001F04AC"/>
    <w:rsid w:val="001F1574"/>
    <w:rsid w:val="001F1785"/>
    <w:rsid w:val="001F28C8"/>
    <w:rsid w:val="001F35E3"/>
    <w:rsid w:val="001F47BB"/>
    <w:rsid w:val="001F48BE"/>
    <w:rsid w:val="001F5A97"/>
    <w:rsid w:val="001F69CF"/>
    <w:rsid w:val="0020030D"/>
    <w:rsid w:val="00200432"/>
    <w:rsid w:val="00200A5D"/>
    <w:rsid w:val="002015E5"/>
    <w:rsid w:val="00201C13"/>
    <w:rsid w:val="00202340"/>
    <w:rsid w:val="0020234E"/>
    <w:rsid w:val="0020285E"/>
    <w:rsid w:val="00202E6B"/>
    <w:rsid w:val="002039F6"/>
    <w:rsid w:val="002078C4"/>
    <w:rsid w:val="00210B78"/>
    <w:rsid w:val="00210D5B"/>
    <w:rsid w:val="00211553"/>
    <w:rsid w:val="0021332D"/>
    <w:rsid w:val="00214546"/>
    <w:rsid w:val="002150D3"/>
    <w:rsid w:val="00216060"/>
    <w:rsid w:val="00216C35"/>
    <w:rsid w:val="002176E5"/>
    <w:rsid w:val="00217743"/>
    <w:rsid w:val="0022090C"/>
    <w:rsid w:val="0022136B"/>
    <w:rsid w:val="00224A07"/>
    <w:rsid w:val="00224EE2"/>
    <w:rsid w:val="0022567F"/>
    <w:rsid w:val="00230C35"/>
    <w:rsid w:val="00230D2E"/>
    <w:rsid w:val="00231516"/>
    <w:rsid w:val="00231F8D"/>
    <w:rsid w:val="00233B19"/>
    <w:rsid w:val="00235A7A"/>
    <w:rsid w:val="00235B62"/>
    <w:rsid w:val="00235D56"/>
    <w:rsid w:val="002364FF"/>
    <w:rsid w:val="00236B92"/>
    <w:rsid w:val="00242324"/>
    <w:rsid w:val="0024614C"/>
    <w:rsid w:val="002518DE"/>
    <w:rsid w:val="00253E57"/>
    <w:rsid w:val="002548C6"/>
    <w:rsid w:val="002568C3"/>
    <w:rsid w:val="00260095"/>
    <w:rsid w:val="00261420"/>
    <w:rsid w:val="0026245A"/>
    <w:rsid w:val="00263CD5"/>
    <w:rsid w:val="00263D31"/>
    <w:rsid w:val="0026424A"/>
    <w:rsid w:val="0026580E"/>
    <w:rsid w:val="00266567"/>
    <w:rsid w:val="00266A0B"/>
    <w:rsid w:val="00266AAE"/>
    <w:rsid w:val="00266AF8"/>
    <w:rsid w:val="00266E09"/>
    <w:rsid w:val="00270DF5"/>
    <w:rsid w:val="00270E15"/>
    <w:rsid w:val="00271B04"/>
    <w:rsid w:val="00271E20"/>
    <w:rsid w:val="00274F51"/>
    <w:rsid w:val="002755FD"/>
    <w:rsid w:val="00275EA0"/>
    <w:rsid w:val="002769B0"/>
    <w:rsid w:val="00276DC2"/>
    <w:rsid w:val="00277224"/>
    <w:rsid w:val="002777C2"/>
    <w:rsid w:val="0028231E"/>
    <w:rsid w:val="002827DA"/>
    <w:rsid w:val="00283292"/>
    <w:rsid w:val="00283B76"/>
    <w:rsid w:val="0028434F"/>
    <w:rsid w:val="0028499C"/>
    <w:rsid w:val="00285F85"/>
    <w:rsid w:val="00286281"/>
    <w:rsid w:val="002865D9"/>
    <w:rsid w:val="00287E78"/>
    <w:rsid w:val="00290094"/>
    <w:rsid w:val="00292E49"/>
    <w:rsid w:val="00292FEF"/>
    <w:rsid w:val="002930D1"/>
    <w:rsid w:val="00293D77"/>
    <w:rsid w:val="00294ED3"/>
    <w:rsid w:val="00296957"/>
    <w:rsid w:val="002A0BC6"/>
    <w:rsid w:val="002A0F98"/>
    <w:rsid w:val="002A2959"/>
    <w:rsid w:val="002A323A"/>
    <w:rsid w:val="002A4E9D"/>
    <w:rsid w:val="002A72C5"/>
    <w:rsid w:val="002B0E5E"/>
    <w:rsid w:val="002B2A59"/>
    <w:rsid w:val="002B2B49"/>
    <w:rsid w:val="002B2D67"/>
    <w:rsid w:val="002B33DB"/>
    <w:rsid w:val="002B3B26"/>
    <w:rsid w:val="002B419E"/>
    <w:rsid w:val="002B41E5"/>
    <w:rsid w:val="002B4681"/>
    <w:rsid w:val="002B60C8"/>
    <w:rsid w:val="002C3321"/>
    <w:rsid w:val="002C33C2"/>
    <w:rsid w:val="002C39EF"/>
    <w:rsid w:val="002C54FB"/>
    <w:rsid w:val="002C57FD"/>
    <w:rsid w:val="002C58D3"/>
    <w:rsid w:val="002C7775"/>
    <w:rsid w:val="002D1877"/>
    <w:rsid w:val="002D1D27"/>
    <w:rsid w:val="002D278B"/>
    <w:rsid w:val="002D4088"/>
    <w:rsid w:val="002D5647"/>
    <w:rsid w:val="002D7292"/>
    <w:rsid w:val="002D7BA7"/>
    <w:rsid w:val="002E04EC"/>
    <w:rsid w:val="002E1321"/>
    <w:rsid w:val="002E25CB"/>
    <w:rsid w:val="002E3D37"/>
    <w:rsid w:val="002E5D57"/>
    <w:rsid w:val="002E7436"/>
    <w:rsid w:val="002E7495"/>
    <w:rsid w:val="002F069D"/>
    <w:rsid w:val="002F0EBD"/>
    <w:rsid w:val="002F121C"/>
    <w:rsid w:val="002F1399"/>
    <w:rsid w:val="002F185E"/>
    <w:rsid w:val="002F1BD8"/>
    <w:rsid w:val="002F2C78"/>
    <w:rsid w:val="002F3782"/>
    <w:rsid w:val="002F4C41"/>
    <w:rsid w:val="002F51FD"/>
    <w:rsid w:val="002F63E8"/>
    <w:rsid w:val="002F7267"/>
    <w:rsid w:val="0030018A"/>
    <w:rsid w:val="00300BCF"/>
    <w:rsid w:val="00300C94"/>
    <w:rsid w:val="0030272F"/>
    <w:rsid w:val="00304110"/>
    <w:rsid w:val="00305EBD"/>
    <w:rsid w:val="003063E5"/>
    <w:rsid w:val="0031073D"/>
    <w:rsid w:val="00310EB9"/>
    <w:rsid w:val="00311326"/>
    <w:rsid w:val="003114C2"/>
    <w:rsid w:val="00312A7B"/>
    <w:rsid w:val="00312B80"/>
    <w:rsid w:val="00313675"/>
    <w:rsid w:val="00313770"/>
    <w:rsid w:val="00313E56"/>
    <w:rsid w:val="00314A50"/>
    <w:rsid w:val="0031529B"/>
    <w:rsid w:val="00316E99"/>
    <w:rsid w:val="00316EFA"/>
    <w:rsid w:val="00317914"/>
    <w:rsid w:val="003217F2"/>
    <w:rsid w:val="00323F25"/>
    <w:rsid w:val="003250E4"/>
    <w:rsid w:val="003265A8"/>
    <w:rsid w:val="003273B6"/>
    <w:rsid w:val="00331A9F"/>
    <w:rsid w:val="00333879"/>
    <w:rsid w:val="0033399C"/>
    <w:rsid w:val="00333CFE"/>
    <w:rsid w:val="003341E6"/>
    <w:rsid w:val="00335AFA"/>
    <w:rsid w:val="00335C5D"/>
    <w:rsid w:val="00336339"/>
    <w:rsid w:val="00336E51"/>
    <w:rsid w:val="0033747D"/>
    <w:rsid w:val="00337A9A"/>
    <w:rsid w:val="00337D2E"/>
    <w:rsid w:val="00340B08"/>
    <w:rsid w:val="00344EE6"/>
    <w:rsid w:val="003455AA"/>
    <w:rsid w:val="0034664C"/>
    <w:rsid w:val="00346661"/>
    <w:rsid w:val="003478A4"/>
    <w:rsid w:val="003515F4"/>
    <w:rsid w:val="00352039"/>
    <w:rsid w:val="0035468D"/>
    <w:rsid w:val="00355B91"/>
    <w:rsid w:val="003576E0"/>
    <w:rsid w:val="00361304"/>
    <w:rsid w:val="00364DC0"/>
    <w:rsid w:val="0036652D"/>
    <w:rsid w:val="00366927"/>
    <w:rsid w:val="003675C2"/>
    <w:rsid w:val="003722D5"/>
    <w:rsid w:val="00377816"/>
    <w:rsid w:val="00377D53"/>
    <w:rsid w:val="00381063"/>
    <w:rsid w:val="003818F6"/>
    <w:rsid w:val="00382AF5"/>
    <w:rsid w:val="003851D2"/>
    <w:rsid w:val="00387581"/>
    <w:rsid w:val="00392574"/>
    <w:rsid w:val="00393E4F"/>
    <w:rsid w:val="003944DB"/>
    <w:rsid w:val="00395387"/>
    <w:rsid w:val="00395C65"/>
    <w:rsid w:val="0039763E"/>
    <w:rsid w:val="003A0DCB"/>
    <w:rsid w:val="003A2F09"/>
    <w:rsid w:val="003A4B20"/>
    <w:rsid w:val="003A6521"/>
    <w:rsid w:val="003A6F48"/>
    <w:rsid w:val="003A7714"/>
    <w:rsid w:val="003A7F07"/>
    <w:rsid w:val="003B0807"/>
    <w:rsid w:val="003B0B44"/>
    <w:rsid w:val="003B13B2"/>
    <w:rsid w:val="003B1507"/>
    <w:rsid w:val="003B25FD"/>
    <w:rsid w:val="003B59C5"/>
    <w:rsid w:val="003B61ED"/>
    <w:rsid w:val="003B7172"/>
    <w:rsid w:val="003B7CE4"/>
    <w:rsid w:val="003C0E32"/>
    <w:rsid w:val="003C143A"/>
    <w:rsid w:val="003C38A3"/>
    <w:rsid w:val="003C392E"/>
    <w:rsid w:val="003C50E8"/>
    <w:rsid w:val="003C59BD"/>
    <w:rsid w:val="003C5CEB"/>
    <w:rsid w:val="003C6A23"/>
    <w:rsid w:val="003C7F74"/>
    <w:rsid w:val="003D17A8"/>
    <w:rsid w:val="003D2B39"/>
    <w:rsid w:val="003D2E4C"/>
    <w:rsid w:val="003D368B"/>
    <w:rsid w:val="003D54A7"/>
    <w:rsid w:val="003D5EDF"/>
    <w:rsid w:val="003D656A"/>
    <w:rsid w:val="003D6E8A"/>
    <w:rsid w:val="003E05CB"/>
    <w:rsid w:val="003E4010"/>
    <w:rsid w:val="003E45A1"/>
    <w:rsid w:val="003E5F3B"/>
    <w:rsid w:val="003F0B2F"/>
    <w:rsid w:val="003F4249"/>
    <w:rsid w:val="003F5319"/>
    <w:rsid w:val="003F661B"/>
    <w:rsid w:val="003F6980"/>
    <w:rsid w:val="004000CA"/>
    <w:rsid w:val="0040099E"/>
    <w:rsid w:val="00400FA2"/>
    <w:rsid w:val="00401776"/>
    <w:rsid w:val="00401B3A"/>
    <w:rsid w:val="00401DB2"/>
    <w:rsid w:val="00403246"/>
    <w:rsid w:val="004033E0"/>
    <w:rsid w:val="0040370B"/>
    <w:rsid w:val="0040399B"/>
    <w:rsid w:val="00404580"/>
    <w:rsid w:val="004052C4"/>
    <w:rsid w:val="00410CA1"/>
    <w:rsid w:val="004110F4"/>
    <w:rsid w:val="00411A8A"/>
    <w:rsid w:val="00413CCD"/>
    <w:rsid w:val="0041449E"/>
    <w:rsid w:val="00416994"/>
    <w:rsid w:val="0041710B"/>
    <w:rsid w:val="00420DE8"/>
    <w:rsid w:val="00421979"/>
    <w:rsid w:val="00423A3F"/>
    <w:rsid w:val="00424650"/>
    <w:rsid w:val="0042572B"/>
    <w:rsid w:val="004257A5"/>
    <w:rsid w:val="004259DF"/>
    <w:rsid w:val="00425B54"/>
    <w:rsid w:val="00431771"/>
    <w:rsid w:val="00433E00"/>
    <w:rsid w:val="0043444F"/>
    <w:rsid w:val="00441230"/>
    <w:rsid w:val="00441DCF"/>
    <w:rsid w:val="00442EE3"/>
    <w:rsid w:val="0044432A"/>
    <w:rsid w:val="0044548E"/>
    <w:rsid w:val="00445689"/>
    <w:rsid w:val="00446D48"/>
    <w:rsid w:val="004500BC"/>
    <w:rsid w:val="00450754"/>
    <w:rsid w:val="00450E53"/>
    <w:rsid w:val="00452870"/>
    <w:rsid w:val="0045369B"/>
    <w:rsid w:val="00453779"/>
    <w:rsid w:val="004537AC"/>
    <w:rsid w:val="00455102"/>
    <w:rsid w:val="0045510C"/>
    <w:rsid w:val="0045671A"/>
    <w:rsid w:val="0046100B"/>
    <w:rsid w:val="00461791"/>
    <w:rsid w:val="004618EB"/>
    <w:rsid w:val="00461A25"/>
    <w:rsid w:val="0046229B"/>
    <w:rsid w:val="00462A11"/>
    <w:rsid w:val="00462DB7"/>
    <w:rsid w:val="00464AEF"/>
    <w:rsid w:val="00465657"/>
    <w:rsid w:val="00466E61"/>
    <w:rsid w:val="00467ADC"/>
    <w:rsid w:val="0047159F"/>
    <w:rsid w:val="00471B35"/>
    <w:rsid w:val="004725C3"/>
    <w:rsid w:val="004732EF"/>
    <w:rsid w:val="00473D1D"/>
    <w:rsid w:val="004748C8"/>
    <w:rsid w:val="00476515"/>
    <w:rsid w:val="00487A07"/>
    <w:rsid w:val="00494703"/>
    <w:rsid w:val="00497F33"/>
    <w:rsid w:val="00497F80"/>
    <w:rsid w:val="004A1098"/>
    <w:rsid w:val="004A15F2"/>
    <w:rsid w:val="004A2602"/>
    <w:rsid w:val="004A2EE7"/>
    <w:rsid w:val="004A2FA1"/>
    <w:rsid w:val="004A2FCD"/>
    <w:rsid w:val="004A7DB1"/>
    <w:rsid w:val="004B0D6F"/>
    <w:rsid w:val="004B1ADF"/>
    <w:rsid w:val="004B29C7"/>
    <w:rsid w:val="004B301A"/>
    <w:rsid w:val="004B607D"/>
    <w:rsid w:val="004B6BA1"/>
    <w:rsid w:val="004C02F0"/>
    <w:rsid w:val="004C061C"/>
    <w:rsid w:val="004C1C33"/>
    <w:rsid w:val="004C283C"/>
    <w:rsid w:val="004C4B38"/>
    <w:rsid w:val="004C7504"/>
    <w:rsid w:val="004C7F2E"/>
    <w:rsid w:val="004D18CD"/>
    <w:rsid w:val="004D1CD5"/>
    <w:rsid w:val="004D1D80"/>
    <w:rsid w:val="004D4315"/>
    <w:rsid w:val="004D48A4"/>
    <w:rsid w:val="004D4953"/>
    <w:rsid w:val="004D4BDC"/>
    <w:rsid w:val="004D6486"/>
    <w:rsid w:val="004E01AA"/>
    <w:rsid w:val="004E2BD8"/>
    <w:rsid w:val="004E379D"/>
    <w:rsid w:val="004E3914"/>
    <w:rsid w:val="004E3B94"/>
    <w:rsid w:val="004E4368"/>
    <w:rsid w:val="004E498D"/>
    <w:rsid w:val="004E4BED"/>
    <w:rsid w:val="004E5E25"/>
    <w:rsid w:val="004E630E"/>
    <w:rsid w:val="004E67AD"/>
    <w:rsid w:val="004E6F88"/>
    <w:rsid w:val="004F06A3"/>
    <w:rsid w:val="004F1875"/>
    <w:rsid w:val="004F2B97"/>
    <w:rsid w:val="004F38F4"/>
    <w:rsid w:val="004F3D87"/>
    <w:rsid w:val="004F475A"/>
    <w:rsid w:val="00501363"/>
    <w:rsid w:val="00501C10"/>
    <w:rsid w:val="00501DA0"/>
    <w:rsid w:val="00507F40"/>
    <w:rsid w:val="00510A41"/>
    <w:rsid w:val="00511216"/>
    <w:rsid w:val="005123F4"/>
    <w:rsid w:val="00513A41"/>
    <w:rsid w:val="005143CA"/>
    <w:rsid w:val="00514B37"/>
    <w:rsid w:val="00515715"/>
    <w:rsid w:val="0051592A"/>
    <w:rsid w:val="00516813"/>
    <w:rsid w:val="00517A74"/>
    <w:rsid w:val="00520C04"/>
    <w:rsid w:val="00520D78"/>
    <w:rsid w:val="0052168F"/>
    <w:rsid w:val="005218FF"/>
    <w:rsid w:val="00523DEF"/>
    <w:rsid w:val="00523FF8"/>
    <w:rsid w:val="00524464"/>
    <w:rsid w:val="00526E73"/>
    <w:rsid w:val="00531314"/>
    <w:rsid w:val="0053152C"/>
    <w:rsid w:val="00531EF5"/>
    <w:rsid w:val="00532D20"/>
    <w:rsid w:val="00533960"/>
    <w:rsid w:val="005344D9"/>
    <w:rsid w:val="00535F65"/>
    <w:rsid w:val="00537073"/>
    <w:rsid w:val="005375B5"/>
    <w:rsid w:val="005404A1"/>
    <w:rsid w:val="00541D36"/>
    <w:rsid w:val="00541F65"/>
    <w:rsid w:val="00542489"/>
    <w:rsid w:val="005430FC"/>
    <w:rsid w:val="00543C69"/>
    <w:rsid w:val="00544874"/>
    <w:rsid w:val="0055518C"/>
    <w:rsid w:val="005558A4"/>
    <w:rsid w:val="005600E1"/>
    <w:rsid w:val="005610F6"/>
    <w:rsid w:val="00563D5B"/>
    <w:rsid w:val="0056473D"/>
    <w:rsid w:val="00565DB5"/>
    <w:rsid w:val="00567267"/>
    <w:rsid w:val="00567AAF"/>
    <w:rsid w:val="0057251C"/>
    <w:rsid w:val="00572927"/>
    <w:rsid w:val="00574E72"/>
    <w:rsid w:val="0057516F"/>
    <w:rsid w:val="00575C52"/>
    <w:rsid w:val="00575EFA"/>
    <w:rsid w:val="00576A3B"/>
    <w:rsid w:val="00577066"/>
    <w:rsid w:val="00577108"/>
    <w:rsid w:val="00580E7F"/>
    <w:rsid w:val="0058337E"/>
    <w:rsid w:val="00585859"/>
    <w:rsid w:val="00587DBC"/>
    <w:rsid w:val="00592983"/>
    <w:rsid w:val="00592D4C"/>
    <w:rsid w:val="00593E4C"/>
    <w:rsid w:val="00594500"/>
    <w:rsid w:val="005971BC"/>
    <w:rsid w:val="00597FA9"/>
    <w:rsid w:val="005A1E7D"/>
    <w:rsid w:val="005A3805"/>
    <w:rsid w:val="005A3ED9"/>
    <w:rsid w:val="005A4540"/>
    <w:rsid w:val="005A564A"/>
    <w:rsid w:val="005A7BC7"/>
    <w:rsid w:val="005A7E87"/>
    <w:rsid w:val="005B0AA3"/>
    <w:rsid w:val="005B0CCE"/>
    <w:rsid w:val="005B32CF"/>
    <w:rsid w:val="005B5A35"/>
    <w:rsid w:val="005B5D27"/>
    <w:rsid w:val="005B6506"/>
    <w:rsid w:val="005B6847"/>
    <w:rsid w:val="005B6DC6"/>
    <w:rsid w:val="005C0B72"/>
    <w:rsid w:val="005C0F82"/>
    <w:rsid w:val="005C3FA4"/>
    <w:rsid w:val="005C41A4"/>
    <w:rsid w:val="005C42E6"/>
    <w:rsid w:val="005C5320"/>
    <w:rsid w:val="005D1666"/>
    <w:rsid w:val="005D35FC"/>
    <w:rsid w:val="005D6D22"/>
    <w:rsid w:val="005D7031"/>
    <w:rsid w:val="005D7CAD"/>
    <w:rsid w:val="005D7D36"/>
    <w:rsid w:val="005E064F"/>
    <w:rsid w:val="005E1443"/>
    <w:rsid w:val="005E2A0D"/>
    <w:rsid w:val="005E339D"/>
    <w:rsid w:val="005E342B"/>
    <w:rsid w:val="005E3A7C"/>
    <w:rsid w:val="005E62B2"/>
    <w:rsid w:val="005E65AB"/>
    <w:rsid w:val="005E65E6"/>
    <w:rsid w:val="005E6DC5"/>
    <w:rsid w:val="005E74A3"/>
    <w:rsid w:val="005E7AEC"/>
    <w:rsid w:val="005E7B61"/>
    <w:rsid w:val="005E7DE4"/>
    <w:rsid w:val="005F0598"/>
    <w:rsid w:val="005F1DB3"/>
    <w:rsid w:val="005F2FED"/>
    <w:rsid w:val="005F3A63"/>
    <w:rsid w:val="005F409E"/>
    <w:rsid w:val="005F4ACA"/>
    <w:rsid w:val="005F4E2D"/>
    <w:rsid w:val="005F5627"/>
    <w:rsid w:val="005F6F8B"/>
    <w:rsid w:val="005F7268"/>
    <w:rsid w:val="005F76A6"/>
    <w:rsid w:val="005F7B75"/>
    <w:rsid w:val="005F7F6D"/>
    <w:rsid w:val="00600660"/>
    <w:rsid w:val="006011C8"/>
    <w:rsid w:val="0060345E"/>
    <w:rsid w:val="006048F3"/>
    <w:rsid w:val="00605511"/>
    <w:rsid w:val="006055E2"/>
    <w:rsid w:val="006057C5"/>
    <w:rsid w:val="006068DD"/>
    <w:rsid w:val="0060794D"/>
    <w:rsid w:val="00613CEF"/>
    <w:rsid w:val="006143BB"/>
    <w:rsid w:val="0061533F"/>
    <w:rsid w:val="006155B1"/>
    <w:rsid w:val="00617695"/>
    <w:rsid w:val="0061783E"/>
    <w:rsid w:val="00620A88"/>
    <w:rsid w:val="006217C7"/>
    <w:rsid w:val="0062285D"/>
    <w:rsid w:val="0062316E"/>
    <w:rsid w:val="006236FB"/>
    <w:rsid w:val="0062681B"/>
    <w:rsid w:val="0063018A"/>
    <w:rsid w:val="00631DFE"/>
    <w:rsid w:val="00632B60"/>
    <w:rsid w:val="00632CBF"/>
    <w:rsid w:val="00632D99"/>
    <w:rsid w:val="00632F88"/>
    <w:rsid w:val="0063326E"/>
    <w:rsid w:val="006333B8"/>
    <w:rsid w:val="006338CE"/>
    <w:rsid w:val="00633A24"/>
    <w:rsid w:val="00633F05"/>
    <w:rsid w:val="006340A7"/>
    <w:rsid w:val="00634DB8"/>
    <w:rsid w:val="006364BF"/>
    <w:rsid w:val="00636B4B"/>
    <w:rsid w:val="006377A9"/>
    <w:rsid w:val="00640458"/>
    <w:rsid w:val="00640A1B"/>
    <w:rsid w:val="00640A88"/>
    <w:rsid w:val="006415FE"/>
    <w:rsid w:val="00641628"/>
    <w:rsid w:val="0064285C"/>
    <w:rsid w:val="00644D75"/>
    <w:rsid w:val="00646478"/>
    <w:rsid w:val="00646937"/>
    <w:rsid w:val="0064767F"/>
    <w:rsid w:val="00650BE8"/>
    <w:rsid w:val="00651F32"/>
    <w:rsid w:val="006525D2"/>
    <w:rsid w:val="00652DD9"/>
    <w:rsid w:val="00655249"/>
    <w:rsid w:val="00655CA0"/>
    <w:rsid w:val="006574B1"/>
    <w:rsid w:val="0065773E"/>
    <w:rsid w:val="00657754"/>
    <w:rsid w:val="006606FA"/>
    <w:rsid w:val="00661374"/>
    <w:rsid w:val="0066150D"/>
    <w:rsid w:val="00661ACB"/>
    <w:rsid w:val="006620D0"/>
    <w:rsid w:val="006633A4"/>
    <w:rsid w:val="00664AAD"/>
    <w:rsid w:val="00664E4E"/>
    <w:rsid w:val="00667A7A"/>
    <w:rsid w:val="006715BF"/>
    <w:rsid w:val="00672761"/>
    <w:rsid w:val="00673EE9"/>
    <w:rsid w:val="00674ED3"/>
    <w:rsid w:val="00675295"/>
    <w:rsid w:val="006764DD"/>
    <w:rsid w:val="00676EC9"/>
    <w:rsid w:val="006779ED"/>
    <w:rsid w:val="006809B9"/>
    <w:rsid w:val="00681C20"/>
    <w:rsid w:val="00682580"/>
    <w:rsid w:val="006833D1"/>
    <w:rsid w:val="00684877"/>
    <w:rsid w:val="006849F3"/>
    <w:rsid w:val="00684DE2"/>
    <w:rsid w:val="006860DC"/>
    <w:rsid w:val="00686D1A"/>
    <w:rsid w:val="00687975"/>
    <w:rsid w:val="00690979"/>
    <w:rsid w:val="006920EA"/>
    <w:rsid w:val="00693915"/>
    <w:rsid w:val="00693DF8"/>
    <w:rsid w:val="00695300"/>
    <w:rsid w:val="0069629F"/>
    <w:rsid w:val="00697190"/>
    <w:rsid w:val="0069732C"/>
    <w:rsid w:val="0069768D"/>
    <w:rsid w:val="00697CED"/>
    <w:rsid w:val="00697F94"/>
    <w:rsid w:val="006A1BBF"/>
    <w:rsid w:val="006A1DD1"/>
    <w:rsid w:val="006A4167"/>
    <w:rsid w:val="006A45CE"/>
    <w:rsid w:val="006A47D3"/>
    <w:rsid w:val="006A4961"/>
    <w:rsid w:val="006A4F59"/>
    <w:rsid w:val="006A6AA0"/>
    <w:rsid w:val="006B1609"/>
    <w:rsid w:val="006B21A7"/>
    <w:rsid w:val="006B2245"/>
    <w:rsid w:val="006B302D"/>
    <w:rsid w:val="006B31E4"/>
    <w:rsid w:val="006B37E9"/>
    <w:rsid w:val="006B53AC"/>
    <w:rsid w:val="006C1B6F"/>
    <w:rsid w:val="006C36CE"/>
    <w:rsid w:val="006C45F0"/>
    <w:rsid w:val="006C478B"/>
    <w:rsid w:val="006C7650"/>
    <w:rsid w:val="006D1818"/>
    <w:rsid w:val="006D2F48"/>
    <w:rsid w:val="006D4399"/>
    <w:rsid w:val="006D5FF2"/>
    <w:rsid w:val="006E0530"/>
    <w:rsid w:val="006E1252"/>
    <w:rsid w:val="006E5EF6"/>
    <w:rsid w:val="006E6618"/>
    <w:rsid w:val="006E74E9"/>
    <w:rsid w:val="006E7D0F"/>
    <w:rsid w:val="006F07D1"/>
    <w:rsid w:val="006F0EF2"/>
    <w:rsid w:val="006F6170"/>
    <w:rsid w:val="006F6213"/>
    <w:rsid w:val="006F6864"/>
    <w:rsid w:val="006F7A86"/>
    <w:rsid w:val="007002DB"/>
    <w:rsid w:val="00701595"/>
    <w:rsid w:val="0070228D"/>
    <w:rsid w:val="0070287C"/>
    <w:rsid w:val="00703681"/>
    <w:rsid w:val="0070663D"/>
    <w:rsid w:val="00706C9E"/>
    <w:rsid w:val="00706F16"/>
    <w:rsid w:val="00710381"/>
    <w:rsid w:val="00710F65"/>
    <w:rsid w:val="007127CF"/>
    <w:rsid w:val="0071483B"/>
    <w:rsid w:val="00715139"/>
    <w:rsid w:val="007152C3"/>
    <w:rsid w:val="007229FD"/>
    <w:rsid w:val="00724C6E"/>
    <w:rsid w:val="00724D42"/>
    <w:rsid w:val="00727A8C"/>
    <w:rsid w:val="00727A9B"/>
    <w:rsid w:val="00733B92"/>
    <w:rsid w:val="00734823"/>
    <w:rsid w:val="00736611"/>
    <w:rsid w:val="00737221"/>
    <w:rsid w:val="007401D6"/>
    <w:rsid w:val="00740400"/>
    <w:rsid w:val="007405EC"/>
    <w:rsid w:val="00740614"/>
    <w:rsid w:val="00743E14"/>
    <w:rsid w:val="007445BB"/>
    <w:rsid w:val="007457AD"/>
    <w:rsid w:val="00745CFC"/>
    <w:rsid w:val="00750290"/>
    <w:rsid w:val="00751F6B"/>
    <w:rsid w:val="00754AC3"/>
    <w:rsid w:val="00755CFD"/>
    <w:rsid w:val="007560E5"/>
    <w:rsid w:val="00756257"/>
    <w:rsid w:val="00757141"/>
    <w:rsid w:val="0075744C"/>
    <w:rsid w:val="007607A0"/>
    <w:rsid w:val="00763305"/>
    <w:rsid w:val="007635AF"/>
    <w:rsid w:val="00766345"/>
    <w:rsid w:val="007665A4"/>
    <w:rsid w:val="007701C3"/>
    <w:rsid w:val="007710B5"/>
    <w:rsid w:val="00771E9F"/>
    <w:rsid w:val="007721F8"/>
    <w:rsid w:val="0077263C"/>
    <w:rsid w:val="00772782"/>
    <w:rsid w:val="00772F99"/>
    <w:rsid w:val="00776A53"/>
    <w:rsid w:val="007800A8"/>
    <w:rsid w:val="0078203C"/>
    <w:rsid w:val="007823D0"/>
    <w:rsid w:val="007835D7"/>
    <w:rsid w:val="00784532"/>
    <w:rsid w:val="00790286"/>
    <w:rsid w:val="00790722"/>
    <w:rsid w:val="0079127E"/>
    <w:rsid w:val="0079379C"/>
    <w:rsid w:val="00793C8F"/>
    <w:rsid w:val="0079664A"/>
    <w:rsid w:val="0079723F"/>
    <w:rsid w:val="00797D11"/>
    <w:rsid w:val="007A2C8C"/>
    <w:rsid w:val="007A3705"/>
    <w:rsid w:val="007A380D"/>
    <w:rsid w:val="007A4498"/>
    <w:rsid w:val="007A5510"/>
    <w:rsid w:val="007A614C"/>
    <w:rsid w:val="007A6D62"/>
    <w:rsid w:val="007A7E7B"/>
    <w:rsid w:val="007B00C8"/>
    <w:rsid w:val="007B0517"/>
    <w:rsid w:val="007B0D18"/>
    <w:rsid w:val="007B1150"/>
    <w:rsid w:val="007B4B61"/>
    <w:rsid w:val="007B60ED"/>
    <w:rsid w:val="007B614B"/>
    <w:rsid w:val="007B6CE0"/>
    <w:rsid w:val="007B76DA"/>
    <w:rsid w:val="007C054E"/>
    <w:rsid w:val="007C100D"/>
    <w:rsid w:val="007C1404"/>
    <w:rsid w:val="007C1CE5"/>
    <w:rsid w:val="007C37BE"/>
    <w:rsid w:val="007C41A0"/>
    <w:rsid w:val="007C448D"/>
    <w:rsid w:val="007C79FD"/>
    <w:rsid w:val="007D0478"/>
    <w:rsid w:val="007D21AA"/>
    <w:rsid w:val="007D350D"/>
    <w:rsid w:val="007D3C0E"/>
    <w:rsid w:val="007D4AC7"/>
    <w:rsid w:val="007D68FB"/>
    <w:rsid w:val="007D7FE2"/>
    <w:rsid w:val="007E07E5"/>
    <w:rsid w:val="007E0D52"/>
    <w:rsid w:val="007E0DCB"/>
    <w:rsid w:val="007E40A0"/>
    <w:rsid w:val="007E54C4"/>
    <w:rsid w:val="007E6515"/>
    <w:rsid w:val="007F06D0"/>
    <w:rsid w:val="007F0A4A"/>
    <w:rsid w:val="007F1735"/>
    <w:rsid w:val="007F22B6"/>
    <w:rsid w:val="007F31E3"/>
    <w:rsid w:val="007F3CD0"/>
    <w:rsid w:val="007F3EDE"/>
    <w:rsid w:val="007F4B1C"/>
    <w:rsid w:val="007F6DDA"/>
    <w:rsid w:val="008005AC"/>
    <w:rsid w:val="008039F3"/>
    <w:rsid w:val="00807D93"/>
    <w:rsid w:val="00814577"/>
    <w:rsid w:val="00814762"/>
    <w:rsid w:val="008165F2"/>
    <w:rsid w:val="00816C67"/>
    <w:rsid w:val="00817032"/>
    <w:rsid w:val="0081733D"/>
    <w:rsid w:val="00822128"/>
    <w:rsid w:val="008233D5"/>
    <w:rsid w:val="0082347F"/>
    <w:rsid w:val="008247A9"/>
    <w:rsid w:val="0082519D"/>
    <w:rsid w:val="00825F90"/>
    <w:rsid w:val="00826D5B"/>
    <w:rsid w:val="00826D69"/>
    <w:rsid w:val="00827D19"/>
    <w:rsid w:val="0083030D"/>
    <w:rsid w:val="00831203"/>
    <w:rsid w:val="00832177"/>
    <w:rsid w:val="008333F5"/>
    <w:rsid w:val="008346D8"/>
    <w:rsid w:val="008352DC"/>
    <w:rsid w:val="008356A7"/>
    <w:rsid w:val="00835934"/>
    <w:rsid w:val="00836EFA"/>
    <w:rsid w:val="00837453"/>
    <w:rsid w:val="00840359"/>
    <w:rsid w:val="00840C40"/>
    <w:rsid w:val="0084325C"/>
    <w:rsid w:val="0084577E"/>
    <w:rsid w:val="00850A4B"/>
    <w:rsid w:val="00850BD5"/>
    <w:rsid w:val="00851952"/>
    <w:rsid w:val="008519C4"/>
    <w:rsid w:val="008549D1"/>
    <w:rsid w:val="0085520F"/>
    <w:rsid w:val="0085644E"/>
    <w:rsid w:val="00856941"/>
    <w:rsid w:val="00857104"/>
    <w:rsid w:val="00860B7B"/>
    <w:rsid w:val="00860F0F"/>
    <w:rsid w:val="0086136A"/>
    <w:rsid w:val="00863465"/>
    <w:rsid w:val="00863B53"/>
    <w:rsid w:val="00864295"/>
    <w:rsid w:val="00864393"/>
    <w:rsid w:val="00866FA1"/>
    <w:rsid w:val="00871791"/>
    <w:rsid w:val="008733E8"/>
    <w:rsid w:val="008750B4"/>
    <w:rsid w:val="00875309"/>
    <w:rsid w:val="00875A8C"/>
    <w:rsid w:val="0087604A"/>
    <w:rsid w:val="008771E6"/>
    <w:rsid w:val="00881B76"/>
    <w:rsid w:val="00883E3F"/>
    <w:rsid w:val="00884D56"/>
    <w:rsid w:val="0088610B"/>
    <w:rsid w:val="00887A5E"/>
    <w:rsid w:val="008905E1"/>
    <w:rsid w:val="00890956"/>
    <w:rsid w:val="00890E5E"/>
    <w:rsid w:val="00891071"/>
    <w:rsid w:val="00892E4A"/>
    <w:rsid w:val="00893126"/>
    <w:rsid w:val="00893189"/>
    <w:rsid w:val="00893CF2"/>
    <w:rsid w:val="0089538D"/>
    <w:rsid w:val="00896FCB"/>
    <w:rsid w:val="00897A35"/>
    <w:rsid w:val="008A0FB7"/>
    <w:rsid w:val="008A396E"/>
    <w:rsid w:val="008A422F"/>
    <w:rsid w:val="008A4668"/>
    <w:rsid w:val="008A4DE3"/>
    <w:rsid w:val="008A4E83"/>
    <w:rsid w:val="008A6522"/>
    <w:rsid w:val="008A673D"/>
    <w:rsid w:val="008A6D56"/>
    <w:rsid w:val="008A6F34"/>
    <w:rsid w:val="008A7881"/>
    <w:rsid w:val="008A7E31"/>
    <w:rsid w:val="008B0358"/>
    <w:rsid w:val="008B0626"/>
    <w:rsid w:val="008B1AA5"/>
    <w:rsid w:val="008B233B"/>
    <w:rsid w:val="008B289D"/>
    <w:rsid w:val="008B32DB"/>
    <w:rsid w:val="008B3D4A"/>
    <w:rsid w:val="008B3EF9"/>
    <w:rsid w:val="008B3F72"/>
    <w:rsid w:val="008B4DE8"/>
    <w:rsid w:val="008C23EE"/>
    <w:rsid w:val="008C3095"/>
    <w:rsid w:val="008C50D3"/>
    <w:rsid w:val="008D0733"/>
    <w:rsid w:val="008D21F6"/>
    <w:rsid w:val="008D7A3B"/>
    <w:rsid w:val="008E0321"/>
    <w:rsid w:val="008E0854"/>
    <w:rsid w:val="008E0BE4"/>
    <w:rsid w:val="008E2307"/>
    <w:rsid w:val="008E4838"/>
    <w:rsid w:val="008F0AEF"/>
    <w:rsid w:val="008F326A"/>
    <w:rsid w:val="008F37F4"/>
    <w:rsid w:val="008F58BD"/>
    <w:rsid w:val="008F64D7"/>
    <w:rsid w:val="008F6896"/>
    <w:rsid w:val="008F6B38"/>
    <w:rsid w:val="008F764C"/>
    <w:rsid w:val="00900F06"/>
    <w:rsid w:val="009021CA"/>
    <w:rsid w:val="00905461"/>
    <w:rsid w:val="0090602D"/>
    <w:rsid w:val="00906163"/>
    <w:rsid w:val="009074EB"/>
    <w:rsid w:val="00907CB2"/>
    <w:rsid w:val="00913423"/>
    <w:rsid w:val="00913E68"/>
    <w:rsid w:val="009141D7"/>
    <w:rsid w:val="0091498D"/>
    <w:rsid w:val="00915104"/>
    <w:rsid w:val="00915481"/>
    <w:rsid w:val="00916CE4"/>
    <w:rsid w:val="00920B71"/>
    <w:rsid w:val="0092228C"/>
    <w:rsid w:val="00923016"/>
    <w:rsid w:val="00924362"/>
    <w:rsid w:val="0092568D"/>
    <w:rsid w:val="00926DD1"/>
    <w:rsid w:val="00927F49"/>
    <w:rsid w:val="00930340"/>
    <w:rsid w:val="0093044A"/>
    <w:rsid w:val="00931B15"/>
    <w:rsid w:val="0093200C"/>
    <w:rsid w:val="009324DD"/>
    <w:rsid w:val="0093283C"/>
    <w:rsid w:val="00934A6F"/>
    <w:rsid w:val="00934A7E"/>
    <w:rsid w:val="00944B06"/>
    <w:rsid w:val="0094519E"/>
    <w:rsid w:val="00945C2E"/>
    <w:rsid w:val="00947116"/>
    <w:rsid w:val="00947477"/>
    <w:rsid w:val="00950342"/>
    <w:rsid w:val="009512A1"/>
    <w:rsid w:val="00951931"/>
    <w:rsid w:val="00953963"/>
    <w:rsid w:val="00954779"/>
    <w:rsid w:val="00955058"/>
    <w:rsid w:val="00956FBB"/>
    <w:rsid w:val="00957531"/>
    <w:rsid w:val="00960860"/>
    <w:rsid w:val="00960996"/>
    <w:rsid w:val="0096208A"/>
    <w:rsid w:val="0096212F"/>
    <w:rsid w:val="009622A3"/>
    <w:rsid w:val="00962490"/>
    <w:rsid w:val="00962815"/>
    <w:rsid w:val="00965209"/>
    <w:rsid w:val="009656C7"/>
    <w:rsid w:val="00965E70"/>
    <w:rsid w:val="009665D1"/>
    <w:rsid w:val="00966D6A"/>
    <w:rsid w:val="00967E80"/>
    <w:rsid w:val="00967E97"/>
    <w:rsid w:val="00972849"/>
    <w:rsid w:val="009729AF"/>
    <w:rsid w:val="00972AAF"/>
    <w:rsid w:val="00972D66"/>
    <w:rsid w:val="00973B48"/>
    <w:rsid w:val="009772BD"/>
    <w:rsid w:val="009801EA"/>
    <w:rsid w:val="00980331"/>
    <w:rsid w:val="00981A04"/>
    <w:rsid w:val="00982BCB"/>
    <w:rsid w:val="00984907"/>
    <w:rsid w:val="009852CA"/>
    <w:rsid w:val="009859AB"/>
    <w:rsid w:val="00990287"/>
    <w:rsid w:val="00990A27"/>
    <w:rsid w:val="00991599"/>
    <w:rsid w:val="00991EE7"/>
    <w:rsid w:val="009937DA"/>
    <w:rsid w:val="009938BE"/>
    <w:rsid w:val="00995B09"/>
    <w:rsid w:val="009968B3"/>
    <w:rsid w:val="00996E1E"/>
    <w:rsid w:val="00996E9E"/>
    <w:rsid w:val="0099752C"/>
    <w:rsid w:val="009A080B"/>
    <w:rsid w:val="009A30AE"/>
    <w:rsid w:val="009A3A0B"/>
    <w:rsid w:val="009A545E"/>
    <w:rsid w:val="009A591C"/>
    <w:rsid w:val="009A5D0D"/>
    <w:rsid w:val="009A6F35"/>
    <w:rsid w:val="009B0CEC"/>
    <w:rsid w:val="009B18D4"/>
    <w:rsid w:val="009B254C"/>
    <w:rsid w:val="009B6953"/>
    <w:rsid w:val="009B6C0C"/>
    <w:rsid w:val="009B7D84"/>
    <w:rsid w:val="009C171A"/>
    <w:rsid w:val="009C2133"/>
    <w:rsid w:val="009C3890"/>
    <w:rsid w:val="009C5544"/>
    <w:rsid w:val="009C7BA6"/>
    <w:rsid w:val="009C7E0C"/>
    <w:rsid w:val="009D0803"/>
    <w:rsid w:val="009D1146"/>
    <w:rsid w:val="009D264F"/>
    <w:rsid w:val="009D5080"/>
    <w:rsid w:val="009D5C15"/>
    <w:rsid w:val="009D7B46"/>
    <w:rsid w:val="009E01E3"/>
    <w:rsid w:val="009E167B"/>
    <w:rsid w:val="009E26E5"/>
    <w:rsid w:val="009E4950"/>
    <w:rsid w:val="009E4D5D"/>
    <w:rsid w:val="009E4E5B"/>
    <w:rsid w:val="009E5BC8"/>
    <w:rsid w:val="009E6279"/>
    <w:rsid w:val="009E6CC0"/>
    <w:rsid w:val="009E7CAB"/>
    <w:rsid w:val="009F1C68"/>
    <w:rsid w:val="009F4B1D"/>
    <w:rsid w:val="009F556F"/>
    <w:rsid w:val="009F5860"/>
    <w:rsid w:val="009F703B"/>
    <w:rsid w:val="009F72A3"/>
    <w:rsid w:val="009F7612"/>
    <w:rsid w:val="00A007AC"/>
    <w:rsid w:val="00A026C0"/>
    <w:rsid w:val="00A05E4F"/>
    <w:rsid w:val="00A07373"/>
    <w:rsid w:val="00A07D90"/>
    <w:rsid w:val="00A11038"/>
    <w:rsid w:val="00A11A16"/>
    <w:rsid w:val="00A11B2A"/>
    <w:rsid w:val="00A141E8"/>
    <w:rsid w:val="00A20CDB"/>
    <w:rsid w:val="00A238D5"/>
    <w:rsid w:val="00A23D05"/>
    <w:rsid w:val="00A25F55"/>
    <w:rsid w:val="00A26B61"/>
    <w:rsid w:val="00A30C09"/>
    <w:rsid w:val="00A30E3F"/>
    <w:rsid w:val="00A30F89"/>
    <w:rsid w:val="00A31C53"/>
    <w:rsid w:val="00A3234E"/>
    <w:rsid w:val="00A32981"/>
    <w:rsid w:val="00A35FD5"/>
    <w:rsid w:val="00A360D2"/>
    <w:rsid w:val="00A363C1"/>
    <w:rsid w:val="00A3681A"/>
    <w:rsid w:val="00A36BBF"/>
    <w:rsid w:val="00A402EC"/>
    <w:rsid w:val="00A415DD"/>
    <w:rsid w:val="00A42282"/>
    <w:rsid w:val="00A42DAE"/>
    <w:rsid w:val="00A43BB0"/>
    <w:rsid w:val="00A45AE7"/>
    <w:rsid w:val="00A45BD3"/>
    <w:rsid w:val="00A46053"/>
    <w:rsid w:val="00A47880"/>
    <w:rsid w:val="00A50C75"/>
    <w:rsid w:val="00A5605F"/>
    <w:rsid w:val="00A57475"/>
    <w:rsid w:val="00A60716"/>
    <w:rsid w:val="00A62D4A"/>
    <w:rsid w:val="00A64EBE"/>
    <w:rsid w:val="00A65D8F"/>
    <w:rsid w:val="00A671A9"/>
    <w:rsid w:val="00A705E3"/>
    <w:rsid w:val="00A7213F"/>
    <w:rsid w:val="00A72504"/>
    <w:rsid w:val="00A7331B"/>
    <w:rsid w:val="00A74099"/>
    <w:rsid w:val="00A75995"/>
    <w:rsid w:val="00A760C7"/>
    <w:rsid w:val="00A76860"/>
    <w:rsid w:val="00A804B6"/>
    <w:rsid w:val="00A82817"/>
    <w:rsid w:val="00A837DD"/>
    <w:rsid w:val="00A842F9"/>
    <w:rsid w:val="00A8431B"/>
    <w:rsid w:val="00A8566A"/>
    <w:rsid w:val="00A858AE"/>
    <w:rsid w:val="00A86E7F"/>
    <w:rsid w:val="00A872B6"/>
    <w:rsid w:val="00A90411"/>
    <w:rsid w:val="00A90D15"/>
    <w:rsid w:val="00A91861"/>
    <w:rsid w:val="00A919A7"/>
    <w:rsid w:val="00A93CCB"/>
    <w:rsid w:val="00A9472A"/>
    <w:rsid w:val="00A9612F"/>
    <w:rsid w:val="00A9622C"/>
    <w:rsid w:val="00A96DE6"/>
    <w:rsid w:val="00A973B5"/>
    <w:rsid w:val="00AA2BF9"/>
    <w:rsid w:val="00AA300B"/>
    <w:rsid w:val="00AA3892"/>
    <w:rsid w:val="00AA3A8B"/>
    <w:rsid w:val="00AA5E8F"/>
    <w:rsid w:val="00AB14F7"/>
    <w:rsid w:val="00AB18BC"/>
    <w:rsid w:val="00AB1A05"/>
    <w:rsid w:val="00AB1AC8"/>
    <w:rsid w:val="00AB2B2C"/>
    <w:rsid w:val="00AB2FDC"/>
    <w:rsid w:val="00AB77E6"/>
    <w:rsid w:val="00AC1814"/>
    <w:rsid w:val="00AC2195"/>
    <w:rsid w:val="00AC336C"/>
    <w:rsid w:val="00AC3D85"/>
    <w:rsid w:val="00AC4E19"/>
    <w:rsid w:val="00AD01FC"/>
    <w:rsid w:val="00AD3077"/>
    <w:rsid w:val="00AD3393"/>
    <w:rsid w:val="00AD5224"/>
    <w:rsid w:val="00AD54BA"/>
    <w:rsid w:val="00AD6AD5"/>
    <w:rsid w:val="00AD73E7"/>
    <w:rsid w:val="00AD7EED"/>
    <w:rsid w:val="00AE14F7"/>
    <w:rsid w:val="00AE19F2"/>
    <w:rsid w:val="00AE269A"/>
    <w:rsid w:val="00AE3150"/>
    <w:rsid w:val="00AE3661"/>
    <w:rsid w:val="00AE3B10"/>
    <w:rsid w:val="00AE52B2"/>
    <w:rsid w:val="00AE55BE"/>
    <w:rsid w:val="00AE6502"/>
    <w:rsid w:val="00AE6D08"/>
    <w:rsid w:val="00AF1E42"/>
    <w:rsid w:val="00AF41A8"/>
    <w:rsid w:val="00AF5CAD"/>
    <w:rsid w:val="00AF6193"/>
    <w:rsid w:val="00B00313"/>
    <w:rsid w:val="00B00DC9"/>
    <w:rsid w:val="00B02393"/>
    <w:rsid w:val="00B03271"/>
    <w:rsid w:val="00B04C0D"/>
    <w:rsid w:val="00B12F01"/>
    <w:rsid w:val="00B13440"/>
    <w:rsid w:val="00B14169"/>
    <w:rsid w:val="00B14FF0"/>
    <w:rsid w:val="00B177D6"/>
    <w:rsid w:val="00B20C75"/>
    <w:rsid w:val="00B21367"/>
    <w:rsid w:val="00B22829"/>
    <w:rsid w:val="00B27283"/>
    <w:rsid w:val="00B316B0"/>
    <w:rsid w:val="00B340FC"/>
    <w:rsid w:val="00B346A3"/>
    <w:rsid w:val="00B34B5B"/>
    <w:rsid w:val="00B41AEE"/>
    <w:rsid w:val="00B421B2"/>
    <w:rsid w:val="00B432BE"/>
    <w:rsid w:val="00B44725"/>
    <w:rsid w:val="00B44B81"/>
    <w:rsid w:val="00B46739"/>
    <w:rsid w:val="00B46ED2"/>
    <w:rsid w:val="00B46F97"/>
    <w:rsid w:val="00B511A2"/>
    <w:rsid w:val="00B51910"/>
    <w:rsid w:val="00B51B1D"/>
    <w:rsid w:val="00B52325"/>
    <w:rsid w:val="00B5258E"/>
    <w:rsid w:val="00B5266C"/>
    <w:rsid w:val="00B528F1"/>
    <w:rsid w:val="00B55693"/>
    <w:rsid w:val="00B55744"/>
    <w:rsid w:val="00B568F5"/>
    <w:rsid w:val="00B601BF"/>
    <w:rsid w:val="00B622E0"/>
    <w:rsid w:val="00B64350"/>
    <w:rsid w:val="00B6521D"/>
    <w:rsid w:val="00B657C4"/>
    <w:rsid w:val="00B65DE1"/>
    <w:rsid w:val="00B715BB"/>
    <w:rsid w:val="00B77297"/>
    <w:rsid w:val="00B802A1"/>
    <w:rsid w:val="00B8076A"/>
    <w:rsid w:val="00B80CFF"/>
    <w:rsid w:val="00B83603"/>
    <w:rsid w:val="00B83EC4"/>
    <w:rsid w:val="00B83ED2"/>
    <w:rsid w:val="00B8481D"/>
    <w:rsid w:val="00B8505C"/>
    <w:rsid w:val="00B87AEA"/>
    <w:rsid w:val="00B9147B"/>
    <w:rsid w:val="00B9198C"/>
    <w:rsid w:val="00B9475E"/>
    <w:rsid w:val="00B95A9F"/>
    <w:rsid w:val="00BA376F"/>
    <w:rsid w:val="00BA3F5E"/>
    <w:rsid w:val="00BA780A"/>
    <w:rsid w:val="00BB07F7"/>
    <w:rsid w:val="00BB0B57"/>
    <w:rsid w:val="00BB13F9"/>
    <w:rsid w:val="00BB25DF"/>
    <w:rsid w:val="00BB2645"/>
    <w:rsid w:val="00BB2E5D"/>
    <w:rsid w:val="00BB4239"/>
    <w:rsid w:val="00BB556B"/>
    <w:rsid w:val="00BB7E34"/>
    <w:rsid w:val="00BC1CD7"/>
    <w:rsid w:val="00BC55CA"/>
    <w:rsid w:val="00BC6EBA"/>
    <w:rsid w:val="00BD06C5"/>
    <w:rsid w:val="00BD1A26"/>
    <w:rsid w:val="00BD3680"/>
    <w:rsid w:val="00BD4D42"/>
    <w:rsid w:val="00BD6482"/>
    <w:rsid w:val="00BD65CC"/>
    <w:rsid w:val="00BD7563"/>
    <w:rsid w:val="00BD7E9A"/>
    <w:rsid w:val="00BE0587"/>
    <w:rsid w:val="00BE11C6"/>
    <w:rsid w:val="00BE3255"/>
    <w:rsid w:val="00BE3467"/>
    <w:rsid w:val="00BE393E"/>
    <w:rsid w:val="00BE41D5"/>
    <w:rsid w:val="00BE57EF"/>
    <w:rsid w:val="00BE5C9A"/>
    <w:rsid w:val="00BE7D89"/>
    <w:rsid w:val="00BF3ADB"/>
    <w:rsid w:val="00BF407C"/>
    <w:rsid w:val="00BF459D"/>
    <w:rsid w:val="00BF46AC"/>
    <w:rsid w:val="00BF53FE"/>
    <w:rsid w:val="00BF629F"/>
    <w:rsid w:val="00C01C59"/>
    <w:rsid w:val="00C02273"/>
    <w:rsid w:val="00C035EB"/>
    <w:rsid w:val="00C03842"/>
    <w:rsid w:val="00C044FC"/>
    <w:rsid w:val="00C05336"/>
    <w:rsid w:val="00C0734E"/>
    <w:rsid w:val="00C10743"/>
    <w:rsid w:val="00C10E8C"/>
    <w:rsid w:val="00C15422"/>
    <w:rsid w:val="00C167DD"/>
    <w:rsid w:val="00C1746D"/>
    <w:rsid w:val="00C20170"/>
    <w:rsid w:val="00C21A3B"/>
    <w:rsid w:val="00C224D4"/>
    <w:rsid w:val="00C23B6F"/>
    <w:rsid w:val="00C23F5C"/>
    <w:rsid w:val="00C31BC1"/>
    <w:rsid w:val="00C33EF0"/>
    <w:rsid w:val="00C37551"/>
    <w:rsid w:val="00C421E4"/>
    <w:rsid w:val="00C4470E"/>
    <w:rsid w:val="00C44F8D"/>
    <w:rsid w:val="00C45ED4"/>
    <w:rsid w:val="00C473B5"/>
    <w:rsid w:val="00C52278"/>
    <w:rsid w:val="00C57A1E"/>
    <w:rsid w:val="00C603D4"/>
    <w:rsid w:val="00C60BA7"/>
    <w:rsid w:val="00C610C1"/>
    <w:rsid w:val="00C62081"/>
    <w:rsid w:val="00C62F25"/>
    <w:rsid w:val="00C63160"/>
    <w:rsid w:val="00C63C81"/>
    <w:rsid w:val="00C64650"/>
    <w:rsid w:val="00C65DAB"/>
    <w:rsid w:val="00C66AF4"/>
    <w:rsid w:val="00C6723F"/>
    <w:rsid w:val="00C71A91"/>
    <w:rsid w:val="00C71E9E"/>
    <w:rsid w:val="00C72EBC"/>
    <w:rsid w:val="00C73CFE"/>
    <w:rsid w:val="00C7565C"/>
    <w:rsid w:val="00C7647D"/>
    <w:rsid w:val="00C77119"/>
    <w:rsid w:val="00C77CF5"/>
    <w:rsid w:val="00C77FC2"/>
    <w:rsid w:val="00C80B3C"/>
    <w:rsid w:val="00C82CC5"/>
    <w:rsid w:val="00C82ECE"/>
    <w:rsid w:val="00C83726"/>
    <w:rsid w:val="00C83905"/>
    <w:rsid w:val="00C84B02"/>
    <w:rsid w:val="00C87B19"/>
    <w:rsid w:val="00C87D32"/>
    <w:rsid w:val="00C917D9"/>
    <w:rsid w:val="00C91B0D"/>
    <w:rsid w:val="00C9427A"/>
    <w:rsid w:val="00C9586A"/>
    <w:rsid w:val="00CA1453"/>
    <w:rsid w:val="00CA1CC6"/>
    <w:rsid w:val="00CA4564"/>
    <w:rsid w:val="00CA4F82"/>
    <w:rsid w:val="00CA5D85"/>
    <w:rsid w:val="00CB04B7"/>
    <w:rsid w:val="00CB1B71"/>
    <w:rsid w:val="00CB643E"/>
    <w:rsid w:val="00CB6A75"/>
    <w:rsid w:val="00CB71D0"/>
    <w:rsid w:val="00CC1B73"/>
    <w:rsid w:val="00CC1FB0"/>
    <w:rsid w:val="00CC2C04"/>
    <w:rsid w:val="00CC35F1"/>
    <w:rsid w:val="00CC4A51"/>
    <w:rsid w:val="00CC6BB5"/>
    <w:rsid w:val="00CD0CEB"/>
    <w:rsid w:val="00CD1985"/>
    <w:rsid w:val="00CD25B0"/>
    <w:rsid w:val="00CD27FC"/>
    <w:rsid w:val="00CD4263"/>
    <w:rsid w:val="00CD505F"/>
    <w:rsid w:val="00CD51C2"/>
    <w:rsid w:val="00CD67BE"/>
    <w:rsid w:val="00CE28EE"/>
    <w:rsid w:val="00CE3A2B"/>
    <w:rsid w:val="00CE4060"/>
    <w:rsid w:val="00CE47E7"/>
    <w:rsid w:val="00CE4822"/>
    <w:rsid w:val="00CE71B5"/>
    <w:rsid w:val="00CE7399"/>
    <w:rsid w:val="00CF0623"/>
    <w:rsid w:val="00CF14C3"/>
    <w:rsid w:val="00CF42D5"/>
    <w:rsid w:val="00CF67FE"/>
    <w:rsid w:val="00CF72AC"/>
    <w:rsid w:val="00CF76FB"/>
    <w:rsid w:val="00D000BC"/>
    <w:rsid w:val="00D00C02"/>
    <w:rsid w:val="00D0259A"/>
    <w:rsid w:val="00D0530F"/>
    <w:rsid w:val="00D10010"/>
    <w:rsid w:val="00D11705"/>
    <w:rsid w:val="00D1175A"/>
    <w:rsid w:val="00D11C69"/>
    <w:rsid w:val="00D12471"/>
    <w:rsid w:val="00D131ED"/>
    <w:rsid w:val="00D13822"/>
    <w:rsid w:val="00D14095"/>
    <w:rsid w:val="00D14CB4"/>
    <w:rsid w:val="00D15542"/>
    <w:rsid w:val="00D1600D"/>
    <w:rsid w:val="00D16122"/>
    <w:rsid w:val="00D166AD"/>
    <w:rsid w:val="00D169AC"/>
    <w:rsid w:val="00D16EB0"/>
    <w:rsid w:val="00D17864"/>
    <w:rsid w:val="00D179BB"/>
    <w:rsid w:val="00D20F9D"/>
    <w:rsid w:val="00D233B0"/>
    <w:rsid w:val="00D23899"/>
    <w:rsid w:val="00D239F9"/>
    <w:rsid w:val="00D23DFA"/>
    <w:rsid w:val="00D243EB"/>
    <w:rsid w:val="00D24FD1"/>
    <w:rsid w:val="00D2644C"/>
    <w:rsid w:val="00D270FA"/>
    <w:rsid w:val="00D27707"/>
    <w:rsid w:val="00D31D33"/>
    <w:rsid w:val="00D3652C"/>
    <w:rsid w:val="00D37B74"/>
    <w:rsid w:val="00D41430"/>
    <w:rsid w:val="00D41F18"/>
    <w:rsid w:val="00D42402"/>
    <w:rsid w:val="00D43DAF"/>
    <w:rsid w:val="00D44CA4"/>
    <w:rsid w:val="00D46EFF"/>
    <w:rsid w:val="00D471DD"/>
    <w:rsid w:val="00D474FB"/>
    <w:rsid w:val="00D500B2"/>
    <w:rsid w:val="00D50AF5"/>
    <w:rsid w:val="00D5292C"/>
    <w:rsid w:val="00D53D2C"/>
    <w:rsid w:val="00D5604B"/>
    <w:rsid w:val="00D56737"/>
    <w:rsid w:val="00D57934"/>
    <w:rsid w:val="00D62C85"/>
    <w:rsid w:val="00D6303C"/>
    <w:rsid w:val="00D65AE8"/>
    <w:rsid w:val="00D7034C"/>
    <w:rsid w:val="00D706DE"/>
    <w:rsid w:val="00D716D2"/>
    <w:rsid w:val="00D71FEB"/>
    <w:rsid w:val="00D74F7D"/>
    <w:rsid w:val="00D7579B"/>
    <w:rsid w:val="00D76B3B"/>
    <w:rsid w:val="00D76DAC"/>
    <w:rsid w:val="00D80A94"/>
    <w:rsid w:val="00D815F8"/>
    <w:rsid w:val="00D83712"/>
    <w:rsid w:val="00D83DD7"/>
    <w:rsid w:val="00D84A29"/>
    <w:rsid w:val="00D8515B"/>
    <w:rsid w:val="00D87FC6"/>
    <w:rsid w:val="00D91EA6"/>
    <w:rsid w:val="00D92195"/>
    <w:rsid w:val="00D92FA1"/>
    <w:rsid w:val="00D93150"/>
    <w:rsid w:val="00D95772"/>
    <w:rsid w:val="00DA06D4"/>
    <w:rsid w:val="00DA1C90"/>
    <w:rsid w:val="00DA23DD"/>
    <w:rsid w:val="00DA3328"/>
    <w:rsid w:val="00DA40E5"/>
    <w:rsid w:val="00DA4E0A"/>
    <w:rsid w:val="00DA50E2"/>
    <w:rsid w:val="00DA62A4"/>
    <w:rsid w:val="00DA6CBA"/>
    <w:rsid w:val="00DA773B"/>
    <w:rsid w:val="00DA7ED7"/>
    <w:rsid w:val="00DB1CB5"/>
    <w:rsid w:val="00DB32FF"/>
    <w:rsid w:val="00DB3519"/>
    <w:rsid w:val="00DB375D"/>
    <w:rsid w:val="00DB3A61"/>
    <w:rsid w:val="00DB3F2B"/>
    <w:rsid w:val="00DB5203"/>
    <w:rsid w:val="00DB5E22"/>
    <w:rsid w:val="00DB5F4B"/>
    <w:rsid w:val="00DB72C9"/>
    <w:rsid w:val="00DB7370"/>
    <w:rsid w:val="00DB76AF"/>
    <w:rsid w:val="00DB7F44"/>
    <w:rsid w:val="00DC1FF4"/>
    <w:rsid w:val="00DC3419"/>
    <w:rsid w:val="00DC632D"/>
    <w:rsid w:val="00DC6D94"/>
    <w:rsid w:val="00DC7326"/>
    <w:rsid w:val="00DC782A"/>
    <w:rsid w:val="00DC7B92"/>
    <w:rsid w:val="00DD02C0"/>
    <w:rsid w:val="00DD0FF6"/>
    <w:rsid w:val="00DD273B"/>
    <w:rsid w:val="00DD31CD"/>
    <w:rsid w:val="00DD5656"/>
    <w:rsid w:val="00DD65E3"/>
    <w:rsid w:val="00DD752B"/>
    <w:rsid w:val="00DD776E"/>
    <w:rsid w:val="00DE0BE2"/>
    <w:rsid w:val="00DE1DA8"/>
    <w:rsid w:val="00DE2DC5"/>
    <w:rsid w:val="00DE2DE8"/>
    <w:rsid w:val="00DE49E1"/>
    <w:rsid w:val="00DE6006"/>
    <w:rsid w:val="00DE68DF"/>
    <w:rsid w:val="00DE6DBD"/>
    <w:rsid w:val="00DE7643"/>
    <w:rsid w:val="00DF1411"/>
    <w:rsid w:val="00DF198C"/>
    <w:rsid w:val="00DF36FB"/>
    <w:rsid w:val="00DF4F0A"/>
    <w:rsid w:val="00DF7E7F"/>
    <w:rsid w:val="00E006DC"/>
    <w:rsid w:val="00E00B16"/>
    <w:rsid w:val="00E015B4"/>
    <w:rsid w:val="00E015E5"/>
    <w:rsid w:val="00E03C32"/>
    <w:rsid w:val="00E103A8"/>
    <w:rsid w:val="00E10A43"/>
    <w:rsid w:val="00E10A56"/>
    <w:rsid w:val="00E117E7"/>
    <w:rsid w:val="00E1421D"/>
    <w:rsid w:val="00E1502E"/>
    <w:rsid w:val="00E152F1"/>
    <w:rsid w:val="00E162B9"/>
    <w:rsid w:val="00E16370"/>
    <w:rsid w:val="00E16436"/>
    <w:rsid w:val="00E17593"/>
    <w:rsid w:val="00E23147"/>
    <w:rsid w:val="00E25875"/>
    <w:rsid w:val="00E26676"/>
    <w:rsid w:val="00E30EA6"/>
    <w:rsid w:val="00E3178E"/>
    <w:rsid w:val="00E3364A"/>
    <w:rsid w:val="00E3467E"/>
    <w:rsid w:val="00E35A20"/>
    <w:rsid w:val="00E36F20"/>
    <w:rsid w:val="00E3734D"/>
    <w:rsid w:val="00E374E3"/>
    <w:rsid w:val="00E40204"/>
    <w:rsid w:val="00E41B50"/>
    <w:rsid w:val="00E42134"/>
    <w:rsid w:val="00E43E8D"/>
    <w:rsid w:val="00E448D2"/>
    <w:rsid w:val="00E45F49"/>
    <w:rsid w:val="00E46158"/>
    <w:rsid w:val="00E47912"/>
    <w:rsid w:val="00E508E4"/>
    <w:rsid w:val="00E510E1"/>
    <w:rsid w:val="00E510FD"/>
    <w:rsid w:val="00E54063"/>
    <w:rsid w:val="00E54601"/>
    <w:rsid w:val="00E563C3"/>
    <w:rsid w:val="00E56609"/>
    <w:rsid w:val="00E578B9"/>
    <w:rsid w:val="00E62693"/>
    <w:rsid w:val="00E65A79"/>
    <w:rsid w:val="00E664C3"/>
    <w:rsid w:val="00E66F21"/>
    <w:rsid w:val="00E677E4"/>
    <w:rsid w:val="00E70D48"/>
    <w:rsid w:val="00E7344C"/>
    <w:rsid w:val="00E748DA"/>
    <w:rsid w:val="00E75267"/>
    <w:rsid w:val="00E76066"/>
    <w:rsid w:val="00E77259"/>
    <w:rsid w:val="00E805D1"/>
    <w:rsid w:val="00E81A56"/>
    <w:rsid w:val="00E84F65"/>
    <w:rsid w:val="00E854EA"/>
    <w:rsid w:val="00E85A25"/>
    <w:rsid w:val="00E85B74"/>
    <w:rsid w:val="00E87C19"/>
    <w:rsid w:val="00E87E24"/>
    <w:rsid w:val="00E87FF2"/>
    <w:rsid w:val="00E9004B"/>
    <w:rsid w:val="00E90E68"/>
    <w:rsid w:val="00E93D2C"/>
    <w:rsid w:val="00E94FE9"/>
    <w:rsid w:val="00E959D4"/>
    <w:rsid w:val="00E9738F"/>
    <w:rsid w:val="00E97862"/>
    <w:rsid w:val="00E9791D"/>
    <w:rsid w:val="00EA08C9"/>
    <w:rsid w:val="00EA19A4"/>
    <w:rsid w:val="00EA26D6"/>
    <w:rsid w:val="00EA3F16"/>
    <w:rsid w:val="00EA4478"/>
    <w:rsid w:val="00EA526E"/>
    <w:rsid w:val="00EA62B0"/>
    <w:rsid w:val="00EA709E"/>
    <w:rsid w:val="00EA7103"/>
    <w:rsid w:val="00EB01A8"/>
    <w:rsid w:val="00EB0240"/>
    <w:rsid w:val="00EB0E75"/>
    <w:rsid w:val="00EB0FD1"/>
    <w:rsid w:val="00EB158A"/>
    <w:rsid w:val="00EB18FD"/>
    <w:rsid w:val="00EB192C"/>
    <w:rsid w:val="00EB19AF"/>
    <w:rsid w:val="00EB1DBF"/>
    <w:rsid w:val="00EB5475"/>
    <w:rsid w:val="00EB7019"/>
    <w:rsid w:val="00EB758D"/>
    <w:rsid w:val="00EB7CC9"/>
    <w:rsid w:val="00EB7D53"/>
    <w:rsid w:val="00EC2FB5"/>
    <w:rsid w:val="00EC4BC7"/>
    <w:rsid w:val="00EC515E"/>
    <w:rsid w:val="00EC5675"/>
    <w:rsid w:val="00EC710B"/>
    <w:rsid w:val="00ED133E"/>
    <w:rsid w:val="00ED4C21"/>
    <w:rsid w:val="00ED52F7"/>
    <w:rsid w:val="00ED5F71"/>
    <w:rsid w:val="00ED61CE"/>
    <w:rsid w:val="00ED7A21"/>
    <w:rsid w:val="00EE183E"/>
    <w:rsid w:val="00EE2B5D"/>
    <w:rsid w:val="00EE46BE"/>
    <w:rsid w:val="00EE4D28"/>
    <w:rsid w:val="00EE50B2"/>
    <w:rsid w:val="00EE55C6"/>
    <w:rsid w:val="00EE595E"/>
    <w:rsid w:val="00EE660C"/>
    <w:rsid w:val="00EE695C"/>
    <w:rsid w:val="00EE6E10"/>
    <w:rsid w:val="00EF14BB"/>
    <w:rsid w:val="00EF4ED0"/>
    <w:rsid w:val="00EF55A3"/>
    <w:rsid w:val="00EF6BF9"/>
    <w:rsid w:val="00EF778C"/>
    <w:rsid w:val="00F005F8"/>
    <w:rsid w:val="00F00D41"/>
    <w:rsid w:val="00F01963"/>
    <w:rsid w:val="00F02AA8"/>
    <w:rsid w:val="00F02C65"/>
    <w:rsid w:val="00F066E3"/>
    <w:rsid w:val="00F07EFF"/>
    <w:rsid w:val="00F10AF6"/>
    <w:rsid w:val="00F120B8"/>
    <w:rsid w:val="00F1508C"/>
    <w:rsid w:val="00F15B64"/>
    <w:rsid w:val="00F1690A"/>
    <w:rsid w:val="00F17972"/>
    <w:rsid w:val="00F17AF4"/>
    <w:rsid w:val="00F20BF6"/>
    <w:rsid w:val="00F21677"/>
    <w:rsid w:val="00F21E98"/>
    <w:rsid w:val="00F2260D"/>
    <w:rsid w:val="00F22F1B"/>
    <w:rsid w:val="00F24778"/>
    <w:rsid w:val="00F2692E"/>
    <w:rsid w:val="00F276CA"/>
    <w:rsid w:val="00F31B80"/>
    <w:rsid w:val="00F31E25"/>
    <w:rsid w:val="00F32262"/>
    <w:rsid w:val="00F32DEC"/>
    <w:rsid w:val="00F360E4"/>
    <w:rsid w:val="00F3637D"/>
    <w:rsid w:val="00F365BD"/>
    <w:rsid w:val="00F36D40"/>
    <w:rsid w:val="00F3776D"/>
    <w:rsid w:val="00F37827"/>
    <w:rsid w:val="00F37C5C"/>
    <w:rsid w:val="00F40B20"/>
    <w:rsid w:val="00F43493"/>
    <w:rsid w:val="00F4384C"/>
    <w:rsid w:val="00F4498C"/>
    <w:rsid w:val="00F45281"/>
    <w:rsid w:val="00F45F35"/>
    <w:rsid w:val="00F47A51"/>
    <w:rsid w:val="00F502F6"/>
    <w:rsid w:val="00F50761"/>
    <w:rsid w:val="00F51BE9"/>
    <w:rsid w:val="00F52B7C"/>
    <w:rsid w:val="00F53119"/>
    <w:rsid w:val="00F53485"/>
    <w:rsid w:val="00F573F7"/>
    <w:rsid w:val="00F61C4F"/>
    <w:rsid w:val="00F64C2F"/>
    <w:rsid w:val="00F65255"/>
    <w:rsid w:val="00F66807"/>
    <w:rsid w:val="00F6773C"/>
    <w:rsid w:val="00F6776B"/>
    <w:rsid w:val="00F718ED"/>
    <w:rsid w:val="00F75A57"/>
    <w:rsid w:val="00F82E1C"/>
    <w:rsid w:val="00F83FB7"/>
    <w:rsid w:val="00F847B6"/>
    <w:rsid w:val="00F85186"/>
    <w:rsid w:val="00F852BD"/>
    <w:rsid w:val="00F873D9"/>
    <w:rsid w:val="00F92073"/>
    <w:rsid w:val="00F9266B"/>
    <w:rsid w:val="00F930CD"/>
    <w:rsid w:val="00FA32BB"/>
    <w:rsid w:val="00FA66E9"/>
    <w:rsid w:val="00FA6CB7"/>
    <w:rsid w:val="00FA6F7B"/>
    <w:rsid w:val="00FA7CB7"/>
    <w:rsid w:val="00FB1C21"/>
    <w:rsid w:val="00FB2D58"/>
    <w:rsid w:val="00FB3347"/>
    <w:rsid w:val="00FB7E1E"/>
    <w:rsid w:val="00FC0382"/>
    <w:rsid w:val="00FC04F5"/>
    <w:rsid w:val="00FC06E1"/>
    <w:rsid w:val="00FC12B0"/>
    <w:rsid w:val="00FC1862"/>
    <w:rsid w:val="00FC2634"/>
    <w:rsid w:val="00FC47CA"/>
    <w:rsid w:val="00FC4E54"/>
    <w:rsid w:val="00FC66AE"/>
    <w:rsid w:val="00FC6F28"/>
    <w:rsid w:val="00FD1849"/>
    <w:rsid w:val="00FD2E97"/>
    <w:rsid w:val="00FD5B63"/>
    <w:rsid w:val="00FD5D4D"/>
    <w:rsid w:val="00FD62EB"/>
    <w:rsid w:val="00FD6E3E"/>
    <w:rsid w:val="00FD7D15"/>
    <w:rsid w:val="00FE0499"/>
    <w:rsid w:val="00FE0EBF"/>
    <w:rsid w:val="00FE28FD"/>
    <w:rsid w:val="00FE2B4F"/>
    <w:rsid w:val="00FE4543"/>
    <w:rsid w:val="00FE471F"/>
    <w:rsid w:val="00FE5E7F"/>
    <w:rsid w:val="00FE600C"/>
    <w:rsid w:val="00FE67C0"/>
    <w:rsid w:val="00FE6C90"/>
    <w:rsid w:val="00FF25D6"/>
    <w:rsid w:val="00FF27F7"/>
    <w:rsid w:val="00FF3853"/>
    <w:rsid w:val="00FF450B"/>
    <w:rsid w:val="00FF4C3A"/>
    <w:rsid w:val="00FF57E7"/>
    <w:rsid w:val="00FF5A91"/>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681B"/>
    <w:pPr>
      <w:spacing w:afterLines="20" w:after="20" w:line="264" w:lineRule="auto"/>
    </w:pPr>
    <w:rPr>
      <w:rFonts w:ascii="Times New Roman" w:eastAsia="Times New Roman" w:hAnsi="Times New Roman" w:cs="Times New Roman"/>
      <w:kern w:val="0"/>
      <w:szCs w:val="20"/>
      <w:lang w:val="en-GB" w:eastAsia="en-US"/>
    </w:rPr>
  </w:style>
  <w:style w:type="paragraph" w:styleId="1">
    <w:name w:val="heading 1"/>
    <w:aliases w:val="Head 1"/>
    <w:basedOn w:val="a"/>
    <w:next w:val="a"/>
    <w:link w:val="10"/>
    <w:uiPriority w:val="9"/>
    <w:qFormat/>
    <w:rsid w:val="008B289D"/>
    <w:pPr>
      <w:keepNext/>
      <w:keepLines/>
      <w:numPr>
        <w:numId w:val="3"/>
      </w:numPr>
      <w:pBdr>
        <w:top w:val="single" w:sz="12" w:space="3" w:color="auto"/>
      </w:pBdr>
      <w:tabs>
        <w:tab w:val="num" w:pos="432"/>
      </w:tabs>
      <w:spacing w:beforeLines="75" w:before="75" w:afterLines="30" w:after="30"/>
      <w:ind w:left="431" w:hanging="431"/>
      <w:outlineLvl w:val="0"/>
    </w:pPr>
    <w:rPr>
      <w:rFonts w:ascii="Arial" w:eastAsia="Batang" w:hAnsi="Arial" w:cs="Arial"/>
      <w:sz w:val="32"/>
      <w:szCs w:val="32"/>
      <w:lang w:val="en-US" w:eastAsia="ko-KR"/>
    </w:rPr>
  </w:style>
  <w:style w:type="paragraph" w:styleId="2">
    <w:name w:val="heading 2"/>
    <w:aliases w:val="Head 2"/>
    <w:basedOn w:val="a"/>
    <w:next w:val="a"/>
    <w:link w:val="20"/>
    <w:uiPriority w:val="9"/>
    <w:unhideWhenUsed/>
    <w:qFormat/>
    <w:rsid w:val="008B289D"/>
    <w:pPr>
      <w:spacing w:beforeLines="15" w:before="15" w:afterLines="25" w:after="25"/>
      <w:outlineLvl w:val="1"/>
    </w:pPr>
    <w:rPr>
      <w:rFonts w:ascii="Malgun Gothic" w:eastAsia="等线" w:hAnsi="Malgun Gothic" w:cstheme="majorBidi"/>
      <w:b/>
      <w:sz w:val="24"/>
    </w:rPr>
  </w:style>
  <w:style w:type="paragraph" w:styleId="3">
    <w:name w:val="heading 3"/>
    <w:aliases w:val="Head 3"/>
    <w:basedOn w:val="a"/>
    <w:next w:val="a"/>
    <w:link w:val="30"/>
    <w:uiPriority w:val="9"/>
    <w:unhideWhenUsed/>
    <w:qFormat/>
    <w:rsid w:val="00C37551"/>
    <w:pPr>
      <w:spacing w:beforeLines="10" w:before="10" w:afterLines="15" w:after="15"/>
      <w:outlineLvl w:val="2"/>
    </w:pPr>
    <w:rPr>
      <w:rFonts w:eastAsiaTheme="minorEastAsia"/>
      <w:b/>
      <w:bCs/>
      <w:sz w:val="22"/>
      <w:lang w:val="en-US" w:eastAsia="ko-KR"/>
    </w:rPr>
  </w:style>
  <w:style w:type="paragraph" w:styleId="4">
    <w:name w:val="heading 4"/>
    <w:aliases w:val="Head 4"/>
    <w:basedOn w:val="a"/>
    <w:next w:val="a"/>
    <w:link w:val="40"/>
    <w:uiPriority w:val="9"/>
    <w:semiHidden/>
    <w:unhideWhenUsed/>
    <w:qFormat/>
    <w:rsid w:val="003D656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80CF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 1 字符"/>
    <w:basedOn w:val="a0"/>
    <w:link w:val="1"/>
    <w:uiPriority w:val="9"/>
    <w:rsid w:val="008B289D"/>
    <w:rPr>
      <w:rFonts w:ascii="Arial" w:eastAsia="Batang" w:hAnsi="Arial" w:cs="Arial"/>
      <w:kern w:val="0"/>
      <w:sz w:val="32"/>
      <w:szCs w:val="32"/>
    </w:rPr>
  </w:style>
  <w:style w:type="character" w:customStyle="1" w:styleId="20">
    <w:name w:val="标题 2 字符"/>
    <w:aliases w:val="Head 2 字符"/>
    <w:basedOn w:val="a0"/>
    <w:link w:val="2"/>
    <w:uiPriority w:val="9"/>
    <w:rsid w:val="008B289D"/>
    <w:rPr>
      <w:rFonts w:ascii="Malgun Gothic" w:eastAsia="等线" w:hAnsi="Malgun Gothic" w:cstheme="majorBidi"/>
      <w:b/>
      <w:kern w:val="0"/>
      <w:sz w:val="24"/>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pPr>
    <w:rPr>
      <w:rFonts w:ascii="Arial" w:eastAsia="Malgun Gothic" w:hAnsi="Arial"/>
      <w:szCs w:val="22"/>
      <w:lang w:val="en-US" w:eastAsia="zh-CN"/>
    </w:rPr>
  </w:style>
  <w:style w:type="paragraph" w:customStyle="1" w:styleId="Proposal1">
    <w:name w:val="Proposal_1"/>
    <w:basedOn w:val="a"/>
    <w:next w:val="a"/>
    <w:link w:val="Proposal10"/>
    <w:qFormat/>
    <w:rsid w:val="00355B91"/>
    <w:pPr>
      <w:numPr>
        <w:numId w:val="2"/>
      </w:numPr>
      <w:tabs>
        <w:tab w:val="left" w:pos="360"/>
      </w:tabs>
      <w:spacing w:beforeLines="75" w:before="75" w:afterLines="65" w:after="65"/>
      <w:ind w:left="0" w:firstLine="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8"/>
    <w:uiPriority w:val="34"/>
    <w:qFormat/>
    <w:rsid w:val="00277224"/>
    <w:pPr>
      <w:ind w:leftChars="400" w:left="800"/>
    </w:pPr>
  </w:style>
  <w:style w:type="character" w:customStyle="1" w:styleId="Proposal10">
    <w:name w:val="Proposal_1 字符"/>
    <w:basedOn w:val="a0"/>
    <w:link w:val="Proposal1"/>
    <w:rsid w:val="00355B91"/>
    <w:rPr>
      <w:rFonts w:ascii="Times New Roman" w:eastAsia="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1">
    <w:name w:val="Observation_1"/>
    <w:basedOn w:val="Proposal1"/>
    <w:next w:val="a"/>
    <w:link w:val="Observation10"/>
    <w:qFormat/>
    <w:rsid w:val="00312A7B"/>
    <w:pPr>
      <w:numPr>
        <w:numId w:val="38"/>
      </w:numPr>
      <w:ind w:left="0" w:firstLine="0"/>
    </w:pPr>
    <w:rPr>
      <w:lang w:eastAsia="ko-KR"/>
    </w:rPr>
  </w:style>
  <w:style w:type="character" w:customStyle="1" w:styleId="Observation10">
    <w:name w:val="Observation_1 字符"/>
    <w:basedOn w:val="a0"/>
    <w:link w:val="Observation1"/>
    <w:rsid w:val="00312A7B"/>
    <w:rPr>
      <w:rFonts w:ascii="Times New Roman" w:eastAsia="Times New Roman" w:hAnsi="Times New Roman" w:cs="Arial"/>
      <w:b/>
      <w:kern w:val="0"/>
      <w:szCs w:val="20"/>
    </w:rPr>
  </w:style>
  <w:style w:type="character" w:styleId="ac">
    <w:name w:val="annotation reference"/>
    <w:basedOn w:val="a0"/>
    <w:uiPriority w:val="99"/>
    <w:semiHidden/>
    <w:unhideWhenUsed/>
    <w:rsid w:val="00277224"/>
    <w:rPr>
      <w:sz w:val="21"/>
      <w:szCs w:val="21"/>
    </w:rPr>
  </w:style>
  <w:style w:type="paragraph" w:styleId="ad">
    <w:name w:val="annotation text"/>
    <w:basedOn w:val="a"/>
    <w:link w:val="ae"/>
    <w:uiPriority w:val="99"/>
    <w:semiHidden/>
    <w:unhideWhenUsed/>
    <w:rsid w:val="00277224"/>
  </w:style>
  <w:style w:type="character" w:customStyle="1" w:styleId="ae">
    <w:name w:val="批注文字 字符"/>
    <w:basedOn w:val="a0"/>
    <w:link w:val="ad"/>
    <w:uiPriority w:val="99"/>
    <w:semiHidden/>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rsid w:val="00277224"/>
    <w:rPr>
      <w:b/>
      <w:bCs/>
    </w:rPr>
  </w:style>
  <w:style w:type="character" w:customStyle="1" w:styleId="af0">
    <w:name w:val="批注主题 字符"/>
    <w:basedOn w:val="ae"/>
    <w:link w:val="af"/>
    <w:uiPriority w:val="99"/>
    <w:semiHidden/>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8B32DB"/>
    <w:pPr>
      <w:keepNext/>
      <w:keepLines/>
      <w:overflowPunct w:val="0"/>
      <w:autoSpaceDE w:val="0"/>
      <w:autoSpaceDN w:val="0"/>
      <w:adjustRightInd w:val="0"/>
      <w:spacing w:before="60" w:after="180"/>
      <w:jc w:val="center"/>
      <w:textAlignment w:val="baseline"/>
    </w:pPr>
    <w:rPr>
      <w:b/>
      <w:lang w:eastAsia="ja-JP"/>
    </w:rPr>
  </w:style>
  <w:style w:type="character" w:customStyle="1" w:styleId="THChar">
    <w:name w:val="TH Char"/>
    <w:link w:val="TH"/>
    <w:qFormat/>
    <w:rsid w:val="008B32DB"/>
    <w:rPr>
      <w:rFonts w:ascii="Times New Roman" w:eastAsia="Times New Roman" w:hAnsi="Times New Roman" w:cs="Times New Roman"/>
      <w:b/>
      <w:kern w:val="0"/>
      <w:szCs w:val="20"/>
      <w:lang w:val="en-GB" w:eastAsia="ja-JP"/>
    </w:rPr>
  </w:style>
  <w:style w:type="character" w:customStyle="1" w:styleId="30">
    <w:name w:val="标题 3 字符"/>
    <w:aliases w:val="Head 3 字符"/>
    <w:basedOn w:val="a0"/>
    <w:link w:val="3"/>
    <w:uiPriority w:val="9"/>
    <w:rsid w:val="00C37551"/>
    <w:rPr>
      <w:rFonts w:ascii="Times New Roman" w:hAnsi="Times New Roman" w:cs="Times New Roman"/>
      <w:b/>
      <w:bCs/>
      <w:kern w:val="0"/>
      <w:sz w:val="22"/>
      <w:szCs w:val="20"/>
    </w:rPr>
  </w:style>
  <w:style w:type="paragraph" w:customStyle="1" w:styleId="DocumentTitle">
    <w:name w:val="DocumentTitle"/>
    <w:basedOn w:val="a"/>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rsid w:val="00632D99"/>
    <w:pPr>
      <w:jc w:val="center"/>
    </w:pPr>
    <w:rPr>
      <w:rFonts w:ascii="Calibri" w:hAnsi="Calibri"/>
      <w:b/>
      <w:kern w:val="0"/>
      <w:sz w:val="28"/>
    </w:rPr>
  </w:style>
  <w:style w:type="paragraph" w:customStyle="1" w:styleId="Head2">
    <w:name w:val="Head2"/>
    <w:rsid w:val="00632D99"/>
    <w:pPr>
      <w:jc w:val="center"/>
    </w:pPr>
    <w:rPr>
      <w:rFonts w:ascii="Calibri" w:hAnsi="Calibri"/>
      <w:kern w:val="0"/>
      <w:sz w:val="24"/>
    </w:rPr>
  </w:style>
  <w:style w:type="paragraph" w:customStyle="1" w:styleId="Head3">
    <w:name w:val="Head3"/>
    <w:rsid w:val="00632D99"/>
    <w:pPr>
      <w:jc w:val="left"/>
    </w:pPr>
    <w:rPr>
      <w:rFonts w:ascii="Calibri" w:hAnsi="Calibri"/>
      <w:b/>
      <w:kern w:val="0"/>
      <w:sz w:val="26"/>
    </w:rPr>
  </w:style>
  <w:style w:type="paragraph" w:customStyle="1" w:styleId="Head4">
    <w:name w:val="Head4"/>
    <w:rsid w:val="00632D99"/>
    <w:pPr>
      <w:jc w:val="left"/>
    </w:pPr>
    <w:rPr>
      <w:rFonts w:ascii="Calibri" w:hAnsi="Calibri"/>
      <w:b/>
      <w:kern w:val="0"/>
      <w:sz w:val="24"/>
    </w:rPr>
  </w:style>
  <w:style w:type="paragraph" w:customStyle="1" w:styleId="Head5">
    <w:name w:val="Head5"/>
    <w:rsid w:val="00632D99"/>
    <w:pPr>
      <w:jc w:val="left"/>
    </w:pPr>
    <w:rPr>
      <w:rFonts w:ascii="Calibri" w:hAnsi="Calibri"/>
      <w:kern w:val="0"/>
      <w:sz w:val="24"/>
    </w:rPr>
  </w:style>
  <w:style w:type="paragraph" w:customStyle="1" w:styleId="Head6">
    <w:name w:val="Head6"/>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next w:val="a"/>
    <w:qFormat/>
    <w:rsid w:val="00DE2DE8"/>
    <w:pPr>
      <w:spacing w:after="160" w:line="259" w:lineRule="auto"/>
      <w:jc w:val="center"/>
    </w:pPr>
    <w:rPr>
      <w:rFonts w:cstheme="minorBidi"/>
      <w:sz w:val="1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pPr>
    <w:rPr>
      <w:rFonts w:ascii="Calibri" w:eastAsiaTheme="minorHAnsi" w:hAnsi="Calibri" w:cstheme="minorBidi"/>
      <w:sz w:val="28"/>
      <w:szCs w:val="22"/>
      <w:lang w:val="en-US"/>
    </w:rPr>
  </w:style>
  <w:style w:type="paragraph" w:styleId="af6">
    <w:name w:val="footnote text"/>
    <w:basedOn w:val="a"/>
    <w:link w:val="af7"/>
    <w:uiPriority w:val="99"/>
    <w:semiHidden/>
    <w:unhideWhenUsed/>
    <w:rsid w:val="00D000BC"/>
    <w:pPr>
      <w:snapToGrid w:val="0"/>
    </w:pPr>
    <w:rPr>
      <w:sz w:val="18"/>
      <w:szCs w:val="18"/>
    </w:rPr>
  </w:style>
  <w:style w:type="character" w:customStyle="1" w:styleId="af7">
    <w:name w:val="脚注文本 字符"/>
    <w:basedOn w:val="a0"/>
    <w:link w:val="af6"/>
    <w:uiPriority w:val="99"/>
    <w:semiHidden/>
    <w:rsid w:val="00D000BC"/>
    <w:rPr>
      <w:rFonts w:ascii="Times New Roman" w:hAnsi="Times New Roman" w:cs="Times New Roman"/>
      <w:kern w:val="0"/>
      <w:sz w:val="18"/>
      <w:szCs w:val="18"/>
      <w:lang w:val="en-GB" w:eastAsia="en-US"/>
    </w:rPr>
  </w:style>
  <w:style w:type="character" w:styleId="af8">
    <w:name w:val="footnote reference"/>
    <w:basedOn w:val="a0"/>
    <w:uiPriority w:val="99"/>
    <w:semiHidden/>
    <w:unhideWhenUsed/>
    <w:rsid w:val="00D000BC"/>
    <w:rPr>
      <w:vertAlign w:val="superscript"/>
    </w:rPr>
  </w:style>
  <w:style w:type="character" w:customStyle="1" w:styleId="Proposal1Char">
    <w:name w:val="Proposal_1 Char"/>
    <w:basedOn w:val="a0"/>
    <w:rsid w:val="00B511A2"/>
    <w:rPr>
      <w:rFonts w:ascii="Times New Roman" w:hAnsi="Times New Roman" w:cs="Arial"/>
      <w:b/>
      <w:kern w:val="0"/>
      <w:szCs w:val="20"/>
      <w:lang w:eastAsia="en-US"/>
    </w:rPr>
  </w:style>
  <w:style w:type="character" w:customStyle="1" w:styleId="Observation1Char">
    <w:name w:val="Observation_1 Char"/>
    <w:basedOn w:val="a0"/>
    <w:rsid w:val="0079723F"/>
    <w:rPr>
      <w:rFonts w:ascii="Times New Roman" w:hAnsi="Times New Roman" w:cs="Times New Roman"/>
      <w:b/>
      <w:kern w:val="0"/>
      <w:szCs w:val="20"/>
      <w:lang w:val="en-GB"/>
    </w:rPr>
  </w:style>
  <w:style w:type="table" w:customStyle="1" w:styleId="TableGrid1">
    <w:name w:val="TableGrid1"/>
    <w:basedOn w:val="a1"/>
    <w:next w:val="a5"/>
    <w:qFormat/>
    <w:rsid w:val="002A4E9D"/>
    <w:pPr>
      <w:spacing w:after="0" w:line="240" w:lineRule="auto"/>
      <w:jc w:val="left"/>
    </w:pPr>
    <w:rPr>
      <w:rFonts w:ascii="Times New Roman" w:eastAsia="等线"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a"/>
    <w:link w:val="TANChar"/>
    <w:qFormat/>
    <w:rsid w:val="00AA2BF9"/>
    <w:pPr>
      <w:keepNext/>
      <w:keepLines/>
      <w:spacing w:afterLines="0" w:after="0" w:line="240" w:lineRule="auto"/>
      <w:ind w:left="851" w:hanging="851"/>
      <w:jc w:val="left"/>
    </w:pPr>
    <w:rPr>
      <w:rFonts w:ascii="Arial" w:eastAsiaTheme="minorEastAsia" w:hAnsi="Arial"/>
      <w:sz w:val="18"/>
    </w:rPr>
  </w:style>
  <w:style w:type="character" w:customStyle="1" w:styleId="TANChar">
    <w:name w:val="TAN Char"/>
    <w:link w:val="TAN"/>
    <w:qFormat/>
    <w:rsid w:val="00AA2BF9"/>
    <w:rPr>
      <w:rFonts w:ascii="Arial" w:hAnsi="Arial" w:cs="Times New Roman"/>
      <w:kern w:val="0"/>
      <w:sz w:val="18"/>
      <w:szCs w:val="20"/>
      <w:lang w:val="en-GB" w:eastAsia="en-US"/>
    </w:rPr>
  </w:style>
  <w:style w:type="character" w:customStyle="1" w:styleId="50">
    <w:name w:val="标题 5 字符"/>
    <w:basedOn w:val="a0"/>
    <w:link w:val="5"/>
    <w:uiPriority w:val="9"/>
    <w:semiHidden/>
    <w:rsid w:val="00B80CFF"/>
    <w:rPr>
      <w:rFonts w:ascii="Times New Roman" w:eastAsia="Times New Roman" w:hAnsi="Times New Roman" w:cs="Times New Roman"/>
      <w:b/>
      <w:bCs/>
      <w:kern w:val="0"/>
      <w:sz w:val="28"/>
      <w:szCs w:val="28"/>
      <w:lang w:val="en-GB" w:eastAsia="en-US"/>
    </w:rPr>
  </w:style>
  <w:style w:type="character" w:customStyle="1" w:styleId="40">
    <w:name w:val="标题 4 字符"/>
    <w:aliases w:val="Head 4 字符"/>
    <w:basedOn w:val="a0"/>
    <w:link w:val="4"/>
    <w:uiPriority w:val="9"/>
    <w:semiHidden/>
    <w:rsid w:val="003D656A"/>
    <w:rPr>
      <w:rFonts w:asciiTheme="majorHAnsi" w:eastAsiaTheme="majorEastAsia" w:hAnsiTheme="majorHAnsi" w:cstheme="majorBidi"/>
      <w:b/>
      <w:bCs/>
      <w:kern w:val="0"/>
      <w:sz w:val="28"/>
      <w:szCs w:val="28"/>
      <w:lang w:val="en-GB" w:eastAsia="en-US"/>
    </w:rPr>
  </w:style>
  <w:style w:type="character" w:styleId="af9">
    <w:name w:val="Strong"/>
    <w:basedOn w:val="a0"/>
    <w:uiPriority w:val="22"/>
    <w:qFormat/>
    <w:rsid w:val="006268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2470024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4693-3FF5-458C-9C80-7781D255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1900</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Runsen - Samsung</cp:lastModifiedBy>
  <cp:revision>9</cp:revision>
  <dcterms:created xsi:type="dcterms:W3CDTF">2025-11-07T06:40:00Z</dcterms:created>
  <dcterms:modified xsi:type="dcterms:W3CDTF">2025-11-07T10:47:00Z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